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8D5F1" w14:textId="77777777" w:rsidR="00875AB8" w:rsidRPr="00306175" w:rsidRDefault="00875AB8" w:rsidP="00875AB8">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46142C8F" w14:textId="77777777" w:rsidR="00875AB8" w:rsidRPr="00306175" w:rsidRDefault="00875AB8" w:rsidP="00875AB8">
      <w:pPr>
        <w:jc w:val="center"/>
        <w:rPr>
          <w:rFonts w:ascii="Times New Roman" w:hAnsi="Times New Roman" w:cs="Times New Roman"/>
          <w:b/>
          <w:bCs/>
          <w:sz w:val="16"/>
          <w:szCs w:val="20"/>
        </w:rPr>
      </w:pPr>
    </w:p>
    <w:p w14:paraId="0EFE31A9" w14:textId="77777777" w:rsidR="00875AB8" w:rsidRPr="00780150" w:rsidRDefault="00875AB8" w:rsidP="00875AB8">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48C3CD5A" w14:textId="77777777" w:rsidR="00875AB8" w:rsidRPr="00780150" w:rsidRDefault="00875AB8" w:rsidP="00875AB8">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1AA9CEF0" w14:textId="77777777" w:rsidR="00875AB8" w:rsidRPr="001D788D" w:rsidRDefault="00875AB8" w:rsidP="00875AB8">
      <w:pPr>
        <w:pStyle w:val="BodyText"/>
        <w:pBdr>
          <w:bottom w:val="single" w:sz="12" w:space="1" w:color="auto"/>
        </w:pBdr>
        <w:rPr>
          <w:i w:val="0"/>
          <w:iCs w:val="0"/>
          <w:sz w:val="16"/>
          <w:szCs w:val="16"/>
        </w:rPr>
      </w:pPr>
    </w:p>
    <w:p w14:paraId="7F748D79" w14:textId="77777777" w:rsidR="00875AB8" w:rsidRPr="007624CD" w:rsidRDefault="00875AB8" w:rsidP="00875AB8">
      <w:pPr>
        <w:pStyle w:val="BodyText"/>
        <w:rPr>
          <w:i w:val="0"/>
          <w:iCs w:val="0"/>
          <w:sz w:val="32"/>
          <w:szCs w:val="32"/>
        </w:rPr>
      </w:pPr>
    </w:p>
    <w:p w14:paraId="073AFFF9" w14:textId="7D7A9BD7" w:rsidR="00875AB8" w:rsidRDefault="00875AB8" w:rsidP="00875AB8">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Certain </w:t>
      </w:r>
      <w:r>
        <w:rPr>
          <w:rFonts w:ascii="Times New Roman" w:hAnsi="Times New Roman" w:cs="Times New Roman"/>
          <w:b/>
          <w:bCs/>
          <w:sz w:val="32"/>
          <w:szCs w:val="32"/>
        </w:rPr>
        <w:t>Well Logging</w:t>
      </w:r>
    </w:p>
    <w:p w14:paraId="3D11F61C" w14:textId="39B2462D" w:rsidR="00875AB8" w:rsidRPr="00780150" w:rsidRDefault="00875AB8" w:rsidP="00875AB8">
      <w:pPr>
        <w:jc w:val="center"/>
        <w:rPr>
          <w:rFonts w:ascii="Times New Roman" w:hAnsi="Times New Roman" w:cs="Times New Roman"/>
          <w:b/>
          <w:bCs/>
          <w:sz w:val="32"/>
          <w:szCs w:val="32"/>
        </w:rPr>
      </w:pPr>
      <w:r w:rsidRPr="00780150">
        <w:rPr>
          <w:rFonts w:ascii="Times New Roman" w:hAnsi="Times New Roman" w:cs="Times New Roman"/>
          <w:b/>
          <w:bCs/>
          <w:sz w:val="32"/>
          <w:szCs w:val="32"/>
        </w:rPr>
        <w:t>Radioactive Sealed Sources</w:t>
      </w:r>
    </w:p>
    <w:p w14:paraId="751B5EEB" w14:textId="77777777" w:rsidR="00875AB8" w:rsidRPr="00780150" w:rsidRDefault="00875AB8" w:rsidP="00875AB8">
      <w:pPr>
        <w:jc w:val="center"/>
        <w:rPr>
          <w:rFonts w:ascii="Times New Roman" w:hAnsi="Times New Roman" w:cs="Times New Roman"/>
          <w:b/>
          <w:bCs/>
          <w:sz w:val="32"/>
          <w:szCs w:val="32"/>
        </w:rPr>
      </w:pPr>
    </w:p>
    <w:p w14:paraId="397235F1" w14:textId="6D8C1FBC" w:rsidR="00875AB8" w:rsidRDefault="00875AB8" w:rsidP="00780150">
      <w:pPr>
        <w:rPr>
          <w:rFonts w:ascii="Times New Roman" w:hAnsi="Times New Roman" w:cs="Times New Roman"/>
          <w:sz w:val="24"/>
        </w:rPr>
      </w:pPr>
    </w:p>
    <w:p w14:paraId="27DFFD56" w14:textId="77777777" w:rsidR="00875AB8" w:rsidRDefault="00875AB8" w:rsidP="00875AB8">
      <w:pPr>
        <w:rPr>
          <w:rFonts w:ascii="Times New Roman" w:hAnsi="Times New Roman" w:cs="Times New Roman"/>
          <w:sz w:val="24"/>
        </w:rPr>
      </w:pPr>
      <w:r>
        <w:rPr>
          <w:rFonts w:ascii="Times New Roman" w:hAnsi="Times New Roman" w:cs="Times New Roman"/>
          <w:sz w:val="24"/>
        </w:rPr>
        <w:t xml:space="preserve">Well logging is a technique to measure the properties of geologic strata by inserting specialized instruments down a borehole.  Most downhole well logging occurs in the oil and mineral exploration industry.  Some of these instruments use radioactive sealed sources.  </w:t>
      </w:r>
    </w:p>
    <w:p w14:paraId="57069718" w14:textId="77777777" w:rsidR="00875AB8" w:rsidRDefault="00875AB8" w:rsidP="00875AB8">
      <w:pPr>
        <w:rPr>
          <w:rFonts w:ascii="Times New Roman" w:hAnsi="Times New Roman" w:cs="Times New Roman"/>
          <w:sz w:val="24"/>
        </w:rPr>
      </w:pPr>
    </w:p>
    <w:p w14:paraId="32DF5F2B" w14:textId="77777777" w:rsidR="00875AB8" w:rsidRDefault="00875AB8" w:rsidP="00875AB8">
      <w:pPr>
        <w:rPr>
          <w:rFonts w:ascii="Times New Roman" w:hAnsi="Times New Roman" w:cs="Times New Roman"/>
          <w:sz w:val="24"/>
        </w:rPr>
      </w:pPr>
      <w:r>
        <w:rPr>
          <w:rFonts w:ascii="Times New Roman" w:hAnsi="Times New Roman" w:cs="Times New Roman"/>
          <w:sz w:val="24"/>
        </w:rPr>
        <w:t xml:space="preserve">Primary radionuclides used in well logging include Am-241 and Cs-137.  These sources range in activity from one-half curie to 20 curies.  The cost to transfer these sources to a distributor will range from approximately $2,250 to $6,750 per source.  This does not include packaging or transportation.  The fee for a service technician to package and transport the sources to the distributor is approximately $6,000 to $8,000, depending on the number of sources and transportation distance. </w:t>
      </w:r>
    </w:p>
    <w:p w14:paraId="33AA708D" w14:textId="25D5FFC2" w:rsidR="00875AB8" w:rsidRDefault="00875AB8">
      <w:pPr>
        <w:rPr>
          <w:rFonts w:ascii="Times New Roman" w:hAnsi="Times New Roman" w:cs="Times New Roman"/>
          <w:sz w:val="24"/>
        </w:rPr>
      </w:pPr>
    </w:p>
    <w:p w14:paraId="72EA75E6"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27B9DB03" w14:textId="77777777" w:rsidR="005A174E" w:rsidRPr="005A174E" w:rsidRDefault="005A174E" w:rsidP="005A174E">
      <w:pPr>
        <w:keepNext/>
        <w:keepLines/>
        <w:rPr>
          <w:rFonts w:ascii="Times New Roman" w:eastAsia="Calibri" w:hAnsi="Times New Roman" w:cs="Times New Roman"/>
          <w:b/>
          <w:sz w:val="24"/>
        </w:rPr>
      </w:pPr>
    </w:p>
    <w:p w14:paraId="2013CFA5"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01CFC929" w14:textId="77777777" w:rsidTr="001E19EC">
        <w:tc>
          <w:tcPr>
            <w:tcW w:w="4405" w:type="dxa"/>
            <w:vAlign w:val="center"/>
          </w:tcPr>
          <w:p w14:paraId="3311A058"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46411AAC"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4AA915FF"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53BDA57D"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2D827BB0"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5223C7E2" w14:textId="77777777" w:rsidTr="00153B21">
        <w:tc>
          <w:tcPr>
            <w:tcW w:w="4405" w:type="dxa"/>
            <w:vMerge w:val="restart"/>
            <w:tcBorders>
              <w:top w:val="single" w:sz="4" w:space="0" w:color="005288"/>
              <w:left w:val="single" w:sz="4" w:space="0" w:color="005288"/>
              <w:right w:val="single" w:sz="4" w:space="0" w:color="005288"/>
            </w:tcBorders>
          </w:tcPr>
          <w:p w14:paraId="3DCD5D1C" w14:textId="77777777" w:rsidR="005A174E" w:rsidRPr="005A174E" w:rsidRDefault="005A174E" w:rsidP="005A174E">
            <w:pPr>
              <w:tabs>
                <w:tab w:val="left" w:pos="805"/>
              </w:tabs>
              <w:kinsoku w:val="0"/>
              <w:overflowPunct w:val="0"/>
              <w:autoSpaceDE w:val="0"/>
              <w:autoSpaceDN w:val="0"/>
              <w:adjustRightInd w:val="0"/>
              <w:spacing w:before="88" w:line="200" w:lineRule="exact"/>
              <w:ind w:left="67" w:right="170"/>
              <w:rPr>
                <w:rFonts w:ascii="Times New Roman" w:eastAsia="Calibri" w:hAnsi="Times New Roman" w:cs="Times New Roman"/>
                <w:sz w:val="18"/>
                <w:szCs w:val="18"/>
              </w:rPr>
            </w:pPr>
            <w:r w:rsidRPr="005A174E">
              <w:rPr>
                <w:rFonts w:ascii="Times New Roman" w:eastAsia="Calibri" w:hAnsi="Times New Roman" w:cs="Times New Roman"/>
                <w:sz w:val="18"/>
                <w:szCs w:val="18"/>
              </w:rPr>
              <w:t>Well-logging sources used for characterizing subsurface properties such as density and moisture percentages</w:t>
            </w:r>
            <w:proofErr w:type="gramStart"/>
            <w:r w:rsidRPr="005A174E">
              <w:rPr>
                <w:rFonts w:ascii="Times New Roman" w:eastAsia="Calibri" w:hAnsi="Times New Roman" w:cs="Times New Roman"/>
                <w:sz w:val="18"/>
                <w:szCs w:val="18"/>
              </w:rPr>
              <w:t>. Most commonly associated</w:t>
            </w:r>
            <w:proofErr w:type="gramEnd"/>
            <w:r w:rsidRPr="005A174E">
              <w:rPr>
                <w:rFonts w:ascii="Times New Roman" w:eastAsia="Calibri" w:hAnsi="Times New Roman" w:cs="Times New Roman"/>
                <w:sz w:val="18"/>
                <w:szCs w:val="18"/>
              </w:rPr>
              <w:t xml:space="preserve"> with oil and mineral exploration.</w:t>
            </w:r>
          </w:p>
        </w:tc>
        <w:tc>
          <w:tcPr>
            <w:tcW w:w="1530" w:type="dxa"/>
            <w:tcBorders>
              <w:top w:val="single" w:sz="4" w:space="0" w:color="005288"/>
              <w:left w:val="single" w:sz="4" w:space="0" w:color="005288"/>
              <w:bottom w:val="single" w:sz="4" w:space="0" w:color="005288"/>
              <w:right w:val="single" w:sz="4" w:space="0" w:color="005288"/>
            </w:tcBorders>
            <w:vAlign w:val="center"/>
          </w:tcPr>
          <w:p w14:paraId="0A79C727" w14:textId="77777777" w:rsidR="005A174E" w:rsidRPr="005A174E" w:rsidRDefault="005A174E" w:rsidP="005A174E">
            <w:pPr>
              <w:kinsoku w:val="0"/>
              <w:overflowPunct w:val="0"/>
              <w:autoSpaceDE w:val="0"/>
              <w:autoSpaceDN w:val="0"/>
              <w:adjustRightInd w:val="0"/>
              <w:spacing w:before="88" w:line="200" w:lineRule="exact"/>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Americium-241/ Beryllium</w:t>
            </w:r>
          </w:p>
        </w:tc>
        <w:tc>
          <w:tcPr>
            <w:tcW w:w="1350" w:type="dxa"/>
            <w:tcBorders>
              <w:top w:val="single" w:sz="4" w:space="0" w:color="005288"/>
              <w:left w:val="single" w:sz="4" w:space="0" w:color="005288"/>
              <w:bottom w:val="single" w:sz="4" w:space="0" w:color="005288"/>
              <w:right w:val="single" w:sz="4" w:space="0" w:color="005288"/>
            </w:tcBorders>
            <w:vAlign w:val="center"/>
          </w:tcPr>
          <w:p w14:paraId="7CD9DDAF" w14:textId="77777777" w:rsidR="005A174E" w:rsidRPr="005A174E" w:rsidRDefault="005A174E" w:rsidP="001E19EC">
            <w:pPr>
              <w:kinsoku w:val="0"/>
              <w:overflowPunct w:val="0"/>
              <w:autoSpaceDE w:val="0"/>
              <w:autoSpaceDN w:val="0"/>
              <w:adjustRightInd w:val="0"/>
              <w:spacing w:before="61"/>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0.5-20</w:t>
            </w:r>
          </w:p>
        </w:tc>
        <w:tc>
          <w:tcPr>
            <w:tcW w:w="990" w:type="dxa"/>
            <w:tcBorders>
              <w:top w:val="single" w:sz="4" w:space="0" w:color="005288"/>
              <w:left w:val="single" w:sz="4" w:space="0" w:color="005288"/>
              <w:bottom w:val="single" w:sz="4" w:space="0" w:color="005288"/>
              <w:right w:val="single" w:sz="4" w:space="0" w:color="005288"/>
            </w:tcBorders>
            <w:vAlign w:val="center"/>
          </w:tcPr>
          <w:p w14:paraId="4D1A7D75" w14:textId="77777777" w:rsidR="005A174E" w:rsidRPr="005A174E" w:rsidRDefault="005A174E" w:rsidP="001E19EC">
            <w:pPr>
              <w:kinsoku w:val="0"/>
              <w:overflowPunct w:val="0"/>
              <w:autoSpaceDE w:val="0"/>
              <w:autoSpaceDN w:val="0"/>
              <w:adjustRightInd w:val="0"/>
              <w:spacing w:before="61"/>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2,3,4</w:t>
            </w:r>
          </w:p>
        </w:tc>
        <w:tc>
          <w:tcPr>
            <w:tcW w:w="1170" w:type="dxa"/>
            <w:vMerge w:val="restart"/>
            <w:tcBorders>
              <w:top w:val="single" w:sz="4" w:space="0" w:color="005288"/>
              <w:left w:val="single" w:sz="4" w:space="0" w:color="005288"/>
              <w:right w:val="single" w:sz="4" w:space="0" w:color="auto"/>
            </w:tcBorders>
            <w:vAlign w:val="center"/>
          </w:tcPr>
          <w:p w14:paraId="0C4BC727" w14:textId="77777777" w:rsidR="005A174E" w:rsidRPr="005A174E" w:rsidRDefault="005A174E" w:rsidP="001E19EC">
            <w:pPr>
              <w:kinsoku w:val="0"/>
              <w:overflowPunct w:val="0"/>
              <w:autoSpaceDE w:val="0"/>
              <w:autoSpaceDN w:val="0"/>
              <w:adjustRightInd w:val="0"/>
              <w:spacing w:before="88" w:line="200" w:lineRule="exact"/>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187A2FEF" w14:textId="77777777" w:rsidTr="00153B21">
        <w:tc>
          <w:tcPr>
            <w:tcW w:w="4405" w:type="dxa"/>
            <w:vMerge/>
            <w:tcBorders>
              <w:left w:val="single" w:sz="4" w:space="0" w:color="005288"/>
              <w:right w:val="single" w:sz="4" w:space="0" w:color="005288"/>
            </w:tcBorders>
          </w:tcPr>
          <w:p w14:paraId="41B80317"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B5B68F7"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Californium-252</w:t>
            </w:r>
          </w:p>
        </w:tc>
        <w:tc>
          <w:tcPr>
            <w:tcW w:w="1350" w:type="dxa"/>
            <w:tcBorders>
              <w:top w:val="single" w:sz="4" w:space="0" w:color="005288"/>
              <w:left w:val="single" w:sz="4" w:space="0" w:color="005288"/>
              <w:bottom w:val="single" w:sz="4" w:space="0" w:color="005288"/>
              <w:right w:val="single" w:sz="4" w:space="0" w:color="005288"/>
            </w:tcBorders>
            <w:vAlign w:val="center"/>
          </w:tcPr>
          <w:p w14:paraId="0CD69CE2"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0.027-1.61</w:t>
            </w:r>
          </w:p>
        </w:tc>
        <w:tc>
          <w:tcPr>
            <w:tcW w:w="990" w:type="dxa"/>
            <w:tcBorders>
              <w:top w:val="single" w:sz="4" w:space="0" w:color="005288"/>
              <w:left w:val="single" w:sz="4" w:space="0" w:color="005288"/>
              <w:bottom w:val="single" w:sz="4" w:space="0" w:color="005288"/>
              <w:right w:val="single" w:sz="4" w:space="0" w:color="005288"/>
            </w:tcBorders>
            <w:vAlign w:val="center"/>
          </w:tcPr>
          <w:p w14:paraId="204D32B7"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w:t>
            </w:r>
          </w:p>
        </w:tc>
        <w:tc>
          <w:tcPr>
            <w:tcW w:w="1170" w:type="dxa"/>
            <w:vMerge/>
            <w:tcBorders>
              <w:left w:val="single" w:sz="4" w:space="0" w:color="005288"/>
              <w:right w:val="single" w:sz="4" w:space="0" w:color="auto"/>
            </w:tcBorders>
            <w:vAlign w:val="center"/>
          </w:tcPr>
          <w:p w14:paraId="4C9F5B30"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726935D1" w14:textId="77777777" w:rsidTr="00153B21">
        <w:tc>
          <w:tcPr>
            <w:tcW w:w="4405" w:type="dxa"/>
            <w:vMerge/>
            <w:tcBorders>
              <w:left w:val="single" w:sz="4" w:space="0" w:color="005288"/>
              <w:right w:val="single" w:sz="4" w:space="0" w:color="005288"/>
            </w:tcBorders>
          </w:tcPr>
          <w:p w14:paraId="228DA217"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2E902406"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tcBorders>
              <w:top w:val="single" w:sz="4" w:space="0" w:color="005288"/>
              <w:left w:val="single" w:sz="4" w:space="0" w:color="005288"/>
              <w:bottom w:val="single" w:sz="4" w:space="0" w:color="005288"/>
              <w:right w:val="single" w:sz="4" w:space="0" w:color="005288"/>
            </w:tcBorders>
            <w:vAlign w:val="center"/>
          </w:tcPr>
          <w:p w14:paraId="6AC2C196"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0.5-20</w:t>
            </w:r>
          </w:p>
        </w:tc>
        <w:tc>
          <w:tcPr>
            <w:tcW w:w="990" w:type="dxa"/>
            <w:tcBorders>
              <w:top w:val="single" w:sz="4" w:space="0" w:color="005288"/>
              <w:left w:val="single" w:sz="4" w:space="0" w:color="005288"/>
              <w:bottom w:val="single" w:sz="4" w:space="0" w:color="005288"/>
              <w:right w:val="single" w:sz="4" w:space="0" w:color="005288"/>
            </w:tcBorders>
            <w:vAlign w:val="center"/>
          </w:tcPr>
          <w:p w14:paraId="4C89754D"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w:t>
            </w:r>
          </w:p>
        </w:tc>
        <w:tc>
          <w:tcPr>
            <w:tcW w:w="1170" w:type="dxa"/>
            <w:vMerge/>
            <w:tcBorders>
              <w:left w:val="single" w:sz="4" w:space="0" w:color="005288"/>
              <w:right w:val="single" w:sz="4" w:space="0" w:color="auto"/>
            </w:tcBorders>
            <w:vAlign w:val="center"/>
          </w:tcPr>
          <w:p w14:paraId="5065F4B2"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4B842D89" w14:textId="77777777" w:rsidTr="00153B21">
        <w:tc>
          <w:tcPr>
            <w:tcW w:w="4405" w:type="dxa"/>
            <w:vMerge/>
            <w:tcBorders>
              <w:left w:val="single" w:sz="4" w:space="0" w:color="005288"/>
              <w:right w:val="single" w:sz="4" w:space="0" w:color="005288"/>
            </w:tcBorders>
          </w:tcPr>
          <w:p w14:paraId="49427502"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158F9EBA"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41C9069C" w14:textId="77777777" w:rsidR="005A174E" w:rsidRPr="005A174E" w:rsidRDefault="005A174E" w:rsidP="001E19EC">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1-20</w:t>
            </w:r>
          </w:p>
        </w:tc>
        <w:tc>
          <w:tcPr>
            <w:tcW w:w="990" w:type="dxa"/>
            <w:tcBorders>
              <w:top w:val="single" w:sz="4" w:space="0" w:color="005288"/>
              <w:left w:val="single" w:sz="4" w:space="0" w:color="005288"/>
              <w:bottom w:val="single" w:sz="4" w:space="0" w:color="005288"/>
              <w:right w:val="single" w:sz="4" w:space="0" w:color="005288"/>
            </w:tcBorders>
            <w:vAlign w:val="center"/>
          </w:tcPr>
          <w:p w14:paraId="580F5B9F"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w:t>
            </w:r>
          </w:p>
        </w:tc>
        <w:tc>
          <w:tcPr>
            <w:tcW w:w="1170" w:type="dxa"/>
            <w:vMerge/>
            <w:tcBorders>
              <w:left w:val="single" w:sz="4" w:space="0" w:color="005288"/>
              <w:right w:val="single" w:sz="4" w:space="0" w:color="auto"/>
            </w:tcBorders>
            <w:vAlign w:val="center"/>
          </w:tcPr>
          <w:p w14:paraId="603AD181"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240AA196" w14:textId="77777777" w:rsidTr="00153B21">
        <w:tc>
          <w:tcPr>
            <w:tcW w:w="4405" w:type="dxa"/>
            <w:vMerge/>
            <w:tcBorders>
              <w:left w:val="single" w:sz="4" w:space="0" w:color="005288"/>
              <w:right w:val="single" w:sz="4" w:space="0" w:color="005288"/>
            </w:tcBorders>
          </w:tcPr>
          <w:p w14:paraId="28D3BB49"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5DC4A32E" w14:textId="77777777" w:rsidR="005A174E" w:rsidRPr="005A174E" w:rsidRDefault="005A174E" w:rsidP="005A174E">
            <w:pPr>
              <w:kinsoku w:val="0"/>
              <w:overflowPunct w:val="0"/>
              <w:autoSpaceDE w:val="0"/>
              <w:autoSpaceDN w:val="0"/>
              <w:adjustRightInd w:val="0"/>
              <w:spacing w:before="45" w:line="200" w:lineRule="exact"/>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Plutonium-238/ Beryllium</w:t>
            </w:r>
          </w:p>
        </w:tc>
        <w:tc>
          <w:tcPr>
            <w:tcW w:w="1350" w:type="dxa"/>
            <w:tcBorders>
              <w:top w:val="single" w:sz="4" w:space="0" w:color="005288"/>
              <w:left w:val="single" w:sz="4" w:space="0" w:color="005288"/>
              <w:bottom w:val="single" w:sz="4" w:space="0" w:color="005288"/>
              <w:right w:val="single" w:sz="4" w:space="0" w:color="005288"/>
            </w:tcBorders>
            <w:vAlign w:val="center"/>
          </w:tcPr>
          <w:p w14:paraId="5BB4F65F"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5-70</w:t>
            </w:r>
          </w:p>
        </w:tc>
        <w:tc>
          <w:tcPr>
            <w:tcW w:w="990" w:type="dxa"/>
            <w:tcBorders>
              <w:top w:val="single" w:sz="4" w:space="0" w:color="005288"/>
              <w:left w:val="single" w:sz="4" w:space="0" w:color="005288"/>
              <w:bottom w:val="single" w:sz="4" w:space="0" w:color="005288"/>
              <w:right w:val="single" w:sz="4" w:space="0" w:color="005288"/>
            </w:tcBorders>
            <w:vAlign w:val="center"/>
          </w:tcPr>
          <w:p w14:paraId="485C9279"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w:t>
            </w:r>
          </w:p>
        </w:tc>
        <w:tc>
          <w:tcPr>
            <w:tcW w:w="1170" w:type="dxa"/>
            <w:vMerge/>
            <w:tcBorders>
              <w:left w:val="single" w:sz="4" w:space="0" w:color="005288"/>
              <w:right w:val="single" w:sz="4" w:space="0" w:color="auto"/>
            </w:tcBorders>
            <w:vAlign w:val="center"/>
          </w:tcPr>
          <w:p w14:paraId="226BFE61"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0D86BBC2" w14:textId="77777777" w:rsidTr="00153B21">
        <w:tc>
          <w:tcPr>
            <w:tcW w:w="4405" w:type="dxa"/>
            <w:vMerge/>
            <w:tcBorders>
              <w:left w:val="single" w:sz="4" w:space="0" w:color="005288"/>
              <w:right w:val="single" w:sz="4" w:space="0" w:color="005288"/>
            </w:tcBorders>
          </w:tcPr>
          <w:p w14:paraId="46E5C2DF"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7771B482"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Radium-226</w:t>
            </w:r>
          </w:p>
        </w:tc>
        <w:tc>
          <w:tcPr>
            <w:tcW w:w="1350" w:type="dxa"/>
            <w:tcBorders>
              <w:top w:val="single" w:sz="4" w:space="0" w:color="005288"/>
              <w:left w:val="single" w:sz="4" w:space="0" w:color="005288"/>
              <w:bottom w:val="single" w:sz="4" w:space="0" w:color="005288"/>
              <w:right w:val="single" w:sz="4" w:space="0" w:color="005288"/>
            </w:tcBorders>
            <w:vAlign w:val="center"/>
          </w:tcPr>
          <w:p w14:paraId="6026D4B6"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20</w:t>
            </w:r>
          </w:p>
        </w:tc>
        <w:tc>
          <w:tcPr>
            <w:tcW w:w="990" w:type="dxa"/>
            <w:tcBorders>
              <w:top w:val="single" w:sz="4" w:space="0" w:color="005288"/>
              <w:left w:val="single" w:sz="4" w:space="0" w:color="005288"/>
              <w:bottom w:val="single" w:sz="4" w:space="0" w:color="005288"/>
              <w:right w:val="single" w:sz="4" w:space="0" w:color="005288"/>
            </w:tcBorders>
            <w:vAlign w:val="center"/>
          </w:tcPr>
          <w:p w14:paraId="4CBB4320" w14:textId="77777777" w:rsidR="005A174E" w:rsidRPr="005A174E" w:rsidRDefault="005A174E" w:rsidP="001E19EC">
            <w:pPr>
              <w:kinsoku w:val="0"/>
              <w:overflowPunct w:val="0"/>
              <w:autoSpaceDE w:val="0"/>
              <w:autoSpaceDN w:val="0"/>
              <w:adjustRightInd w:val="0"/>
              <w:spacing w:before="19"/>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w:t>
            </w:r>
          </w:p>
        </w:tc>
        <w:tc>
          <w:tcPr>
            <w:tcW w:w="1170" w:type="dxa"/>
            <w:vMerge/>
            <w:tcBorders>
              <w:left w:val="single" w:sz="4" w:space="0" w:color="005288"/>
              <w:right w:val="single" w:sz="4" w:space="0" w:color="auto"/>
            </w:tcBorders>
            <w:vAlign w:val="center"/>
          </w:tcPr>
          <w:p w14:paraId="470B09E0"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58358567" w14:textId="77777777" w:rsidTr="00153B21">
        <w:tc>
          <w:tcPr>
            <w:tcW w:w="4405" w:type="dxa"/>
            <w:vMerge/>
            <w:tcBorders>
              <w:left w:val="single" w:sz="4" w:space="0" w:color="005288"/>
              <w:right w:val="single" w:sz="4" w:space="0" w:color="005288"/>
            </w:tcBorders>
          </w:tcPr>
          <w:p w14:paraId="04DDABBD"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7123638"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Tritium</w:t>
            </w:r>
          </w:p>
        </w:tc>
        <w:tc>
          <w:tcPr>
            <w:tcW w:w="1350" w:type="dxa"/>
            <w:tcBorders>
              <w:top w:val="single" w:sz="4" w:space="0" w:color="005288"/>
              <w:left w:val="single" w:sz="4" w:space="0" w:color="005288"/>
              <w:bottom w:val="single" w:sz="4" w:space="0" w:color="005288"/>
              <w:right w:val="single" w:sz="4" w:space="0" w:color="005288"/>
            </w:tcBorders>
            <w:vAlign w:val="center"/>
          </w:tcPr>
          <w:p w14:paraId="20B6E3E7" w14:textId="77777777" w:rsidR="005A174E" w:rsidRPr="005A174E" w:rsidRDefault="005A174E" w:rsidP="001E19EC">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1-20</w:t>
            </w:r>
          </w:p>
        </w:tc>
        <w:tc>
          <w:tcPr>
            <w:tcW w:w="990" w:type="dxa"/>
            <w:tcBorders>
              <w:top w:val="single" w:sz="4" w:space="0" w:color="005288"/>
              <w:left w:val="single" w:sz="4" w:space="0" w:color="005288"/>
              <w:bottom w:val="single" w:sz="4" w:space="0" w:color="005288"/>
              <w:right w:val="single" w:sz="4" w:space="0" w:color="005288"/>
            </w:tcBorders>
            <w:vAlign w:val="center"/>
          </w:tcPr>
          <w:p w14:paraId="2351DB6D" w14:textId="77777777" w:rsidR="005A174E" w:rsidRPr="005A174E" w:rsidRDefault="005A174E" w:rsidP="001E19EC">
            <w:pPr>
              <w:kinsoku w:val="0"/>
              <w:overflowPunct w:val="0"/>
              <w:autoSpaceDE w:val="0"/>
              <w:autoSpaceDN w:val="0"/>
              <w:adjustRightInd w:val="0"/>
              <w:spacing w:before="18"/>
              <w:ind w:left="67"/>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w:t>
            </w:r>
          </w:p>
        </w:tc>
        <w:tc>
          <w:tcPr>
            <w:tcW w:w="1170" w:type="dxa"/>
            <w:vMerge/>
            <w:tcBorders>
              <w:left w:val="single" w:sz="4" w:space="0" w:color="005288"/>
              <w:right w:val="single" w:sz="4" w:space="0" w:color="auto"/>
            </w:tcBorders>
            <w:vAlign w:val="center"/>
          </w:tcPr>
          <w:p w14:paraId="165BBB84"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3350D398" w14:textId="77777777" w:rsidTr="00153B21">
        <w:trPr>
          <w:trHeight w:val="2879"/>
        </w:trPr>
        <w:tc>
          <w:tcPr>
            <w:tcW w:w="9445" w:type="dxa"/>
            <w:gridSpan w:val="5"/>
          </w:tcPr>
          <w:p w14:paraId="6E557A20"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lastRenderedPageBreak/>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603B1FB3"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573BFC74"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3ED245CF" w14:textId="77777777" w:rsidR="005A174E" w:rsidRPr="005A174E" w:rsidRDefault="005A174E" w:rsidP="005A174E">
      <w:pPr>
        <w:rPr>
          <w:rFonts w:ascii="Times New Roman" w:eastAsia="Calibri" w:hAnsi="Times New Roman" w:cs="Times New Roman"/>
          <w:sz w:val="24"/>
        </w:rPr>
      </w:pPr>
    </w:p>
    <w:p w14:paraId="23CCFD01" w14:textId="77777777" w:rsidR="005A174E" w:rsidRPr="005A174E" w:rsidRDefault="005A174E" w:rsidP="005A174E">
      <w:pPr>
        <w:rPr>
          <w:rFonts w:ascii="Times New Roman" w:eastAsia="Calibri" w:hAnsi="Times New Roman" w:cs="Times New Roman"/>
          <w:sz w:val="24"/>
        </w:rPr>
      </w:pPr>
    </w:p>
    <w:p w14:paraId="1DC18BCC" w14:textId="77777777" w:rsidR="00C41DCF" w:rsidRDefault="00C41DCF">
      <w:pPr>
        <w:rPr>
          <w:rFonts w:ascii="Times New Roman" w:hAnsi="Times New Roman" w:cs="Times New Roman"/>
          <w:sz w:val="24"/>
        </w:rPr>
      </w:pPr>
    </w:p>
    <w:p w14:paraId="6B359C7E" w14:textId="77777777" w:rsidR="00D85C91" w:rsidRDefault="00D85C91" w:rsidP="00D85C91">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02C189F0" w14:textId="77777777" w:rsidR="00D85C91" w:rsidRDefault="00D85C91" w:rsidP="00D85C91">
      <w:pPr>
        <w:rPr>
          <w:rFonts w:ascii="Times New Roman" w:hAnsi="Times New Roman" w:cs="Times New Roman"/>
          <w:sz w:val="24"/>
        </w:rPr>
      </w:pPr>
    </w:p>
    <w:p w14:paraId="55D55F7A"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75BCBA5D" w14:textId="77777777" w:rsidR="00D85C91" w:rsidRPr="00023B4D" w:rsidRDefault="00D85C91" w:rsidP="00D85C91">
      <w:pPr>
        <w:rPr>
          <w:rFonts w:ascii="Times New Roman" w:eastAsia="Calibri" w:hAnsi="Times New Roman" w:cs="Times New Roman"/>
          <w:sz w:val="24"/>
        </w:rPr>
      </w:pPr>
    </w:p>
    <w:p w14:paraId="644679F8"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7EC2066B" w14:textId="77777777" w:rsidR="00D85C91" w:rsidRPr="00023B4D" w:rsidRDefault="00D85C91" w:rsidP="00D85C91">
      <w:pPr>
        <w:rPr>
          <w:rFonts w:ascii="Times New Roman" w:eastAsia="Calibri" w:hAnsi="Times New Roman" w:cs="Times New Roman"/>
          <w:sz w:val="24"/>
        </w:rPr>
      </w:pPr>
    </w:p>
    <w:p w14:paraId="4A487256" w14:textId="77777777" w:rsidR="00875AB8" w:rsidRDefault="00875AB8" w:rsidP="00875AB8">
      <w:pPr>
        <w:rPr>
          <w:rFonts w:ascii="Times New Roman" w:hAnsi="Times New Roman" w:cs="Times New Roman"/>
          <w:sz w:val="24"/>
        </w:rPr>
      </w:pPr>
    </w:p>
    <w:sectPr w:rsidR="00875AB8" w:rsidSect="00493F8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7F367" w14:textId="77777777" w:rsidR="008B5E0B" w:rsidRDefault="008B5E0B" w:rsidP="00780150">
      <w:r>
        <w:separator/>
      </w:r>
    </w:p>
  </w:endnote>
  <w:endnote w:type="continuationSeparator" w:id="0">
    <w:p w14:paraId="56E5D9F8" w14:textId="77777777" w:rsidR="008B5E0B" w:rsidRDefault="008B5E0B" w:rsidP="00780150">
      <w:r>
        <w:continuationSeparator/>
      </w:r>
    </w:p>
  </w:endnote>
  <w:endnote w:type="continuationNotice" w:id="1">
    <w:p w14:paraId="3BA258B0" w14:textId="77777777" w:rsidR="008B5E0B" w:rsidRDefault="008B5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312159"/>
      <w:docPartObj>
        <w:docPartGallery w:val="Page Numbers (Bottom of Page)"/>
        <w:docPartUnique/>
      </w:docPartObj>
    </w:sdtPr>
    <w:sdtEndPr>
      <w:rPr>
        <w:noProof/>
      </w:rPr>
    </w:sdtEndPr>
    <w:sdtContent>
      <w:p w14:paraId="5EB63024" w14:textId="58968FF8" w:rsidR="00493F8B" w:rsidRDefault="00493F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3F05C" w14:textId="77777777" w:rsidR="008B5E0B" w:rsidRDefault="008B5E0B" w:rsidP="00780150">
      <w:r>
        <w:separator/>
      </w:r>
    </w:p>
  </w:footnote>
  <w:footnote w:type="continuationSeparator" w:id="0">
    <w:p w14:paraId="388EF3E6" w14:textId="77777777" w:rsidR="008B5E0B" w:rsidRDefault="008B5E0B" w:rsidP="00780150">
      <w:r>
        <w:continuationSeparator/>
      </w:r>
    </w:p>
  </w:footnote>
  <w:footnote w:type="continuationNotice" w:id="1">
    <w:p w14:paraId="3DA04743" w14:textId="77777777" w:rsidR="008B5E0B" w:rsidRDefault="008B5E0B"/>
  </w:footnote>
  <w:footnote w:id="2">
    <w:p w14:paraId="0A12CAEF"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0DFFF5D0"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71B84B86"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54FB8"/>
    <w:rsid w:val="0006357D"/>
    <w:rsid w:val="00095D59"/>
    <w:rsid w:val="000B4360"/>
    <w:rsid w:val="00133F0D"/>
    <w:rsid w:val="001E19EC"/>
    <w:rsid w:val="001E787C"/>
    <w:rsid w:val="00254A74"/>
    <w:rsid w:val="00285FC3"/>
    <w:rsid w:val="00327196"/>
    <w:rsid w:val="003C1066"/>
    <w:rsid w:val="00493F8B"/>
    <w:rsid w:val="004C2FC7"/>
    <w:rsid w:val="004E34E3"/>
    <w:rsid w:val="005A174E"/>
    <w:rsid w:val="005D4CA9"/>
    <w:rsid w:val="00611CA1"/>
    <w:rsid w:val="00644128"/>
    <w:rsid w:val="00687EC5"/>
    <w:rsid w:val="007624CD"/>
    <w:rsid w:val="00780150"/>
    <w:rsid w:val="007819C6"/>
    <w:rsid w:val="0080354D"/>
    <w:rsid w:val="008472FA"/>
    <w:rsid w:val="008645D2"/>
    <w:rsid w:val="00875AB8"/>
    <w:rsid w:val="008B5E0B"/>
    <w:rsid w:val="00963849"/>
    <w:rsid w:val="009746FC"/>
    <w:rsid w:val="00985AD6"/>
    <w:rsid w:val="009870EB"/>
    <w:rsid w:val="00A10AED"/>
    <w:rsid w:val="00A81BD0"/>
    <w:rsid w:val="00AB4C60"/>
    <w:rsid w:val="00C053BA"/>
    <w:rsid w:val="00C41DCF"/>
    <w:rsid w:val="00D1516D"/>
    <w:rsid w:val="00D85C91"/>
    <w:rsid w:val="00DA4530"/>
    <w:rsid w:val="00DB3757"/>
    <w:rsid w:val="00E36648"/>
    <w:rsid w:val="00EF5140"/>
    <w:rsid w:val="00F05D12"/>
    <w:rsid w:val="00F13B4F"/>
    <w:rsid w:val="00F7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7</cp:revision>
  <dcterms:created xsi:type="dcterms:W3CDTF">2020-11-03T19:36:00Z</dcterms:created>
  <dcterms:modified xsi:type="dcterms:W3CDTF">2020-11-03T20:23:00Z</dcterms:modified>
</cp:coreProperties>
</file>