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C5DA5" w14:textId="77777777" w:rsidR="009870EB" w:rsidRPr="00306175" w:rsidRDefault="009870EB" w:rsidP="009870EB">
      <w:pPr>
        <w:jc w:val="center"/>
        <w:rPr>
          <w:rFonts w:ascii="Times New Roman" w:hAnsi="Times New Roman" w:cs="Times New Roman"/>
          <w:b/>
          <w:bCs/>
          <w:sz w:val="32"/>
        </w:rPr>
      </w:pPr>
      <w:r w:rsidRPr="00306175">
        <w:rPr>
          <w:rFonts w:ascii="Times New Roman" w:hAnsi="Times New Roman" w:cs="Times New Roman"/>
          <w:b/>
          <w:bCs/>
          <w:sz w:val="32"/>
        </w:rPr>
        <w:t>LOW-LEVEL RADIOACTIVE WASTE FORUM, INC.</w:t>
      </w:r>
    </w:p>
    <w:p w14:paraId="73216266" w14:textId="77777777" w:rsidR="009870EB" w:rsidRPr="00306175" w:rsidRDefault="009870EB" w:rsidP="009870EB">
      <w:pPr>
        <w:jc w:val="center"/>
        <w:rPr>
          <w:rFonts w:ascii="Times New Roman" w:hAnsi="Times New Roman" w:cs="Times New Roman"/>
          <w:b/>
          <w:bCs/>
          <w:sz w:val="16"/>
          <w:szCs w:val="20"/>
        </w:rPr>
      </w:pPr>
    </w:p>
    <w:p w14:paraId="62C8CCA0" w14:textId="77777777" w:rsidR="009870EB" w:rsidRPr="00780150" w:rsidRDefault="009870EB" w:rsidP="009870EB">
      <w:pPr>
        <w:jc w:val="center"/>
        <w:rPr>
          <w:rFonts w:ascii="Times New Roman" w:hAnsi="Times New Roman" w:cs="Times New Roman"/>
          <w:b/>
          <w:bCs/>
        </w:rPr>
      </w:pPr>
      <w:r w:rsidRPr="00780150">
        <w:rPr>
          <w:rFonts w:ascii="Times New Roman" w:hAnsi="Times New Roman" w:cs="Times New Roman"/>
          <w:b/>
          <w:bCs/>
        </w:rPr>
        <w:t>309 Bradley Boulevard</w:t>
      </w:r>
      <w:r>
        <w:rPr>
          <w:rFonts w:ascii="Times New Roman" w:hAnsi="Times New Roman" w:cs="Times New Roman"/>
          <w:b/>
          <w:bCs/>
        </w:rPr>
        <w:t xml:space="preserve">, </w:t>
      </w:r>
      <w:r w:rsidRPr="00780150">
        <w:rPr>
          <w:rFonts w:ascii="Times New Roman" w:hAnsi="Times New Roman" w:cs="Times New Roman"/>
          <w:b/>
          <w:bCs/>
        </w:rPr>
        <w:t>Suite 201</w:t>
      </w:r>
      <w:r>
        <w:rPr>
          <w:rFonts w:ascii="Times New Roman" w:hAnsi="Times New Roman" w:cs="Times New Roman"/>
          <w:b/>
          <w:bCs/>
        </w:rPr>
        <w:t xml:space="preserve">, </w:t>
      </w:r>
      <w:r w:rsidRPr="00780150">
        <w:rPr>
          <w:rFonts w:ascii="Times New Roman" w:hAnsi="Times New Roman" w:cs="Times New Roman"/>
          <w:b/>
          <w:bCs/>
        </w:rPr>
        <w:t>Richland, WA 99352</w:t>
      </w:r>
    </w:p>
    <w:p w14:paraId="4C5F13C8" w14:textId="77777777" w:rsidR="009870EB" w:rsidRPr="00780150" w:rsidRDefault="009870EB" w:rsidP="009870EB">
      <w:pPr>
        <w:jc w:val="center"/>
        <w:rPr>
          <w:rFonts w:ascii="Times New Roman" w:hAnsi="Times New Roman" w:cs="Times New Roman"/>
          <w:b/>
          <w:bCs/>
        </w:rPr>
      </w:pPr>
      <w:r w:rsidRPr="00780150">
        <w:rPr>
          <w:rFonts w:ascii="Times New Roman" w:hAnsi="Times New Roman" w:cs="Times New Roman"/>
          <w:b/>
          <w:bCs/>
        </w:rPr>
        <w:t>801-580-3201</w:t>
      </w:r>
      <w:r>
        <w:rPr>
          <w:rFonts w:ascii="Times New Roman" w:hAnsi="Times New Roman" w:cs="Times New Roman"/>
          <w:b/>
          <w:bCs/>
        </w:rPr>
        <w:t xml:space="preserve"> – dshrum@llwforum.org</w:t>
      </w:r>
    </w:p>
    <w:p w14:paraId="7686AA95" w14:textId="77777777" w:rsidR="009870EB" w:rsidRPr="001D788D" w:rsidRDefault="009870EB" w:rsidP="009870EB">
      <w:pPr>
        <w:pStyle w:val="BodyText"/>
        <w:pBdr>
          <w:bottom w:val="single" w:sz="12" w:space="1" w:color="auto"/>
        </w:pBdr>
        <w:rPr>
          <w:i w:val="0"/>
          <w:iCs w:val="0"/>
          <w:sz w:val="16"/>
          <w:szCs w:val="16"/>
        </w:rPr>
      </w:pPr>
    </w:p>
    <w:p w14:paraId="274B088C" w14:textId="77777777" w:rsidR="009870EB" w:rsidRPr="007624CD" w:rsidRDefault="009870EB" w:rsidP="009870EB">
      <w:pPr>
        <w:pStyle w:val="BodyText"/>
        <w:rPr>
          <w:i w:val="0"/>
          <w:iCs w:val="0"/>
          <w:sz w:val="32"/>
          <w:szCs w:val="32"/>
        </w:rPr>
      </w:pPr>
    </w:p>
    <w:p w14:paraId="0493A46D" w14:textId="481F225D" w:rsidR="009870EB" w:rsidRDefault="009870EB" w:rsidP="009870EB">
      <w:pPr>
        <w:jc w:val="center"/>
        <w:rPr>
          <w:rFonts w:ascii="Times New Roman" w:hAnsi="Times New Roman" w:cs="Times New Roman"/>
          <w:b/>
          <w:bCs/>
          <w:sz w:val="32"/>
          <w:szCs w:val="32"/>
        </w:rPr>
      </w:pPr>
      <w:r w:rsidRPr="00780150">
        <w:rPr>
          <w:rFonts w:ascii="Times New Roman" w:hAnsi="Times New Roman" w:cs="Times New Roman"/>
          <w:b/>
          <w:bCs/>
          <w:sz w:val="32"/>
          <w:szCs w:val="32"/>
        </w:rPr>
        <w:t xml:space="preserve">Disposition Options and Costs for </w:t>
      </w:r>
      <w:r>
        <w:rPr>
          <w:rFonts w:ascii="Times New Roman" w:hAnsi="Times New Roman" w:cs="Times New Roman"/>
          <w:b/>
          <w:bCs/>
          <w:sz w:val="32"/>
          <w:szCs w:val="32"/>
        </w:rPr>
        <w:t>Certain Portable Guage</w:t>
      </w:r>
    </w:p>
    <w:p w14:paraId="2F179A9A" w14:textId="418C2EB9" w:rsidR="009870EB" w:rsidRPr="00780150" w:rsidRDefault="009870EB" w:rsidP="009870EB">
      <w:pPr>
        <w:jc w:val="center"/>
        <w:rPr>
          <w:rFonts w:ascii="Times New Roman" w:hAnsi="Times New Roman" w:cs="Times New Roman"/>
          <w:b/>
          <w:bCs/>
          <w:sz w:val="32"/>
          <w:szCs w:val="32"/>
        </w:rPr>
      </w:pPr>
      <w:r w:rsidRPr="00780150">
        <w:rPr>
          <w:rFonts w:ascii="Times New Roman" w:hAnsi="Times New Roman" w:cs="Times New Roman"/>
          <w:b/>
          <w:bCs/>
          <w:sz w:val="32"/>
          <w:szCs w:val="32"/>
        </w:rPr>
        <w:t>Radioactive Sealed Sources</w:t>
      </w:r>
      <w:r>
        <w:rPr>
          <w:rFonts w:ascii="Times New Roman" w:hAnsi="Times New Roman" w:cs="Times New Roman"/>
          <w:b/>
          <w:bCs/>
          <w:sz w:val="32"/>
          <w:szCs w:val="32"/>
        </w:rPr>
        <w:t xml:space="preserve"> and Devices</w:t>
      </w:r>
    </w:p>
    <w:p w14:paraId="3792D7D8" w14:textId="77777777" w:rsidR="009870EB" w:rsidRPr="00780150" w:rsidRDefault="009870EB" w:rsidP="009870EB">
      <w:pPr>
        <w:jc w:val="center"/>
        <w:rPr>
          <w:rFonts w:ascii="Times New Roman" w:hAnsi="Times New Roman" w:cs="Times New Roman"/>
          <w:b/>
          <w:bCs/>
          <w:sz w:val="32"/>
          <w:szCs w:val="32"/>
        </w:rPr>
      </w:pPr>
    </w:p>
    <w:p w14:paraId="716DEDA4" w14:textId="7EC5579F" w:rsidR="00875AB8" w:rsidRDefault="00875AB8" w:rsidP="00780150">
      <w:pPr>
        <w:rPr>
          <w:rFonts w:ascii="Times New Roman" w:hAnsi="Times New Roman" w:cs="Times New Roman"/>
          <w:sz w:val="24"/>
        </w:rPr>
      </w:pPr>
    </w:p>
    <w:p w14:paraId="7ACAF461" w14:textId="77777777" w:rsidR="009870EB" w:rsidRDefault="009870EB" w:rsidP="009870EB">
      <w:pPr>
        <w:rPr>
          <w:rFonts w:ascii="Times New Roman" w:hAnsi="Times New Roman" w:cs="Times New Roman"/>
          <w:sz w:val="24"/>
        </w:rPr>
      </w:pPr>
      <w:r>
        <w:rPr>
          <w:rFonts w:ascii="Times New Roman" w:hAnsi="Times New Roman" w:cs="Times New Roman"/>
          <w:sz w:val="24"/>
        </w:rPr>
        <w:t xml:space="preserve">Portable gauges are primarily moisture/density gauges used in the construction industry to measure soil, </w:t>
      </w:r>
      <w:proofErr w:type="gramStart"/>
      <w:r>
        <w:rPr>
          <w:rFonts w:ascii="Times New Roman" w:hAnsi="Times New Roman" w:cs="Times New Roman"/>
          <w:sz w:val="24"/>
        </w:rPr>
        <w:t>asphalt</w:t>
      </w:r>
      <w:proofErr w:type="gramEnd"/>
      <w:r>
        <w:rPr>
          <w:rFonts w:ascii="Times New Roman" w:hAnsi="Times New Roman" w:cs="Times New Roman"/>
          <w:sz w:val="24"/>
        </w:rPr>
        <w:t xml:space="preserve"> and concrete density, as well as soil and rooftop moisture.  The American Portable Nuclear Gauge Association describes the devices as follows:</w:t>
      </w:r>
    </w:p>
    <w:p w14:paraId="570E390E" w14:textId="77777777" w:rsidR="009870EB" w:rsidRDefault="009870EB" w:rsidP="009870EB">
      <w:pPr>
        <w:rPr>
          <w:rFonts w:ascii="Times New Roman" w:hAnsi="Times New Roman" w:cs="Times New Roman"/>
          <w:sz w:val="24"/>
        </w:rPr>
      </w:pPr>
    </w:p>
    <w:p w14:paraId="57AFA5D3" w14:textId="77777777" w:rsidR="009870EB" w:rsidRPr="00E903D6" w:rsidRDefault="009870EB" w:rsidP="009870EB">
      <w:pPr>
        <w:ind w:left="720"/>
        <w:rPr>
          <w:rFonts w:ascii="Times New Roman" w:hAnsi="Times New Roman" w:cs="Times New Roman"/>
          <w:sz w:val="24"/>
        </w:rPr>
      </w:pPr>
      <w:r w:rsidRPr="00E903D6">
        <w:rPr>
          <w:rFonts w:ascii="Times New Roman" w:hAnsi="Times New Roman" w:cs="Times New Roman"/>
          <w:sz w:val="24"/>
        </w:rPr>
        <w:t>Mechanically, all soils and asphalt moisture density gauges work the same</w:t>
      </w:r>
      <w:proofErr w:type="gramStart"/>
      <w:r w:rsidRPr="00E903D6">
        <w:rPr>
          <w:rFonts w:ascii="Times New Roman" w:hAnsi="Times New Roman" w:cs="Times New Roman"/>
          <w:sz w:val="24"/>
        </w:rPr>
        <w:t xml:space="preserve">. </w:t>
      </w:r>
      <w:proofErr w:type="gramEnd"/>
      <w:r w:rsidRPr="00E903D6">
        <w:rPr>
          <w:rFonts w:ascii="Times New Roman" w:hAnsi="Times New Roman" w:cs="Times New Roman"/>
          <w:sz w:val="24"/>
        </w:rPr>
        <w:t>The gauges have a source rod that lowers into the ground to measure wet density and another stationary source contained in the base of the gauge that measures moisture.</w:t>
      </w:r>
    </w:p>
    <w:p w14:paraId="08798465" w14:textId="77777777" w:rsidR="009870EB" w:rsidRDefault="009870EB" w:rsidP="009870EB">
      <w:pPr>
        <w:rPr>
          <w:rFonts w:ascii="Times New Roman" w:hAnsi="Times New Roman" w:cs="Times New Roman"/>
          <w:sz w:val="24"/>
        </w:rPr>
      </w:pPr>
    </w:p>
    <w:p w14:paraId="38D8CA05" w14:textId="77777777" w:rsidR="009870EB" w:rsidRDefault="009870EB" w:rsidP="009870EB">
      <w:pPr>
        <w:rPr>
          <w:rFonts w:ascii="Times New Roman" w:hAnsi="Times New Roman" w:cs="Times New Roman"/>
          <w:sz w:val="24"/>
        </w:rPr>
      </w:pPr>
      <w:r>
        <w:rPr>
          <w:rFonts w:ascii="Times New Roman" w:hAnsi="Times New Roman" w:cs="Times New Roman"/>
          <w:sz w:val="24"/>
        </w:rPr>
        <w:t xml:space="preserve">The gauges use Cs-137 sources to measure density and Am-241/Be sources to measure moisture.  When purchasing a new gauge, most gauge manufacturers will accept back an old gauge as part of the purchase price.  The cost to return a gauge to the manufacturer without purchase of a new gauge ranges from approximately $750 to $1,500 plus shipping.  </w:t>
      </w:r>
    </w:p>
    <w:p w14:paraId="6FCAE58D" w14:textId="170B02A4" w:rsidR="009870EB" w:rsidRDefault="009870EB" w:rsidP="009870EB">
      <w:pPr>
        <w:rPr>
          <w:rFonts w:ascii="Times New Roman" w:hAnsi="Times New Roman" w:cs="Times New Roman"/>
          <w:sz w:val="24"/>
        </w:rPr>
      </w:pPr>
    </w:p>
    <w:p w14:paraId="09ABAA37" w14:textId="77777777" w:rsidR="005A174E" w:rsidRPr="005A174E" w:rsidRDefault="005A174E" w:rsidP="005A174E">
      <w:pPr>
        <w:keepNext/>
        <w:keepLines/>
        <w:rPr>
          <w:rFonts w:ascii="Times New Roman" w:eastAsia="Calibri" w:hAnsi="Times New Roman" w:cs="Times New Roman"/>
          <w:b/>
          <w:sz w:val="24"/>
        </w:rPr>
      </w:pPr>
      <w:r w:rsidRPr="005A174E">
        <w:rPr>
          <w:rFonts w:ascii="Times New Roman" w:eastAsia="Calibri" w:hAnsi="Times New Roman" w:cs="Times New Roman"/>
          <w:b/>
          <w:sz w:val="24"/>
        </w:rPr>
        <w:t>Table 1 – Widely Used Radioactive Sealed Sources</w:t>
      </w:r>
      <w:r w:rsidRPr="005A174E">
        <w:rPr>
          <w:rFonts w:ascii="Times New Roman" w:eastAsia="Calibri" w:hAnsi="Times New Roman" w:cs="Times New Roman"/>
          <w:b/>
          <w:sz w:val="24"/>
          <w:vertAlign w:val="superscript"/>
        </w:rPr>
        <w:footnoteReference w:id="2"/>
      </w:r>
    </w:p>
    <w:p w14:paraId="36EA2B44" w14:textId="77777777" w:rsidR="005A174E" w:rsidRPr="005A174E" w:rsidRDefault="005A174E" w:rsidP="005A174E">
      <w:pPr>
        <w:keepNext/>
        <w:keepLines/>
        <w:rPr>
          <w:rFonts w:ascii="Times New Roman" w:eastAsia="Calibri" w:hAnsi="Times New Roman" w:cs="Times New Roman"/>
          <w:sz w:val="24"/>
        </w:rPr>
      </w:pPr>
    </w:p>
    <w:tbl>
      <w:tblPr>
        <w:tblStyle w:val="TableGrid"/>
        <w:tblW w:w="9445" w:type="dxa"/>
        <w:tblLayout w:type="fixed"/>
        <w:tblLook w:val="04A0" w:firstRow="1" w:lastRow="0" w:firstColumn="1" w:lastColumn="0" w:noHBand="0" w:noVBand="1"/>
      </w:tblPr>
      <w:tblGrid>
        <w:gridCol w:w="4405"/>
        <w:gridCol w:w="1530"/>
        <w:gridCol w:w="1350"/>
        <w:gridCol w:w="990"/>
        <w:gridCol w:w="1170"/>
      </w:tblGrid>
      <w:tr w:rsidR="005A174E" w:rsidRPr="005A174E" w14:paraId="1690BAE5" w14:textId="77777777" w:rsidTr="002C1DD5">
        <w:tc>
          <w:tcPr>
            <w:tcW w:w="4405" w:type="dxa"/>
            <w:vAlign w:val="center"/>
          </w:tcPr>
          <w:p w14:paraId="508A9144" w14:textId="77777777" w:rsidR="005A174E" w:rsidRPr="005A174E" w:rsidRDefault="005A174E" w:rsidP="005A174E">
            <w:pPr>
              <w:tabs>
                <w:tab w:val="left" w:pos="805"/>
              </w:tabs>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Device</w:t>
            </w:r>
          </w:p>
        </w:tc>
        <w:tc>
          <w:tcPr>
            <w:tcW w:w="1530" w:type="dxa"/>
            <w:vAlign w:val="center"/>
          </w:tcPr>
          <w:p w14:paraId="6EF3B511" w14:textId="77777777" w:rsidR="005A174E" w:rsidRPr="005A174E" w:rsidRDefault="005A174E" w:rsidP="005A174E">
            <w:pPr>
              <w:ind w:right="-23"/>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Radionuclide</w:t>
            </w:r>
          </w:p>
        </w:tc>
        <w:tc>
          <w:tcPr>
            <w:tcW w:w="1350" w:type="dxa"/>
            <w:vAlign w:val="center"/>
          </w:tcPr>
          <w:p w14:paraId="16764570" w14:textId="77777777" w:rsidR="005A174E" w:rsidRPr="005A174E" w:rsidRDefault="005A174E" w:rsidP="005A174E">
            <w:pPr>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Typical Activity in Curies (Ci) Range</w:t>
            </w:r>
          </w:p>
        </w:tc>
        <w:tc>
          <w:tcPr>
            <w:tcW w:w="990" w:type="dxa"/>
            <w:vAlign w:val="center"/>
          </w:tcPr>
          <w:p w14:paraId="5252A1B1" w14:textId="77777777" w:rsidR="005A174E" w:rsidRPr="005A174E" w:rsidRDefault="005A174E" w:rsidP="005A174E">
            <w:pPr>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 xml:space="preserve">IAEA Source </w:t>
            </w:r>
            <w:proofErr w:type="spellStart"/>
            <w:r w:rsidRPr="005A174E">
              <w:rPr>
                <w:rFonts w:ascii="Times New Roman" w:eastAsia="Calibri" w:hAnsi="Times New Roman" w:cs="Times New Roman"/>
                <w:b/>
                <w:sz w:val="18"/>
                <w:szCs w:val="18"/>
              </w:rPr>
              <w:t>Category</w:t>
            </w:r>
            <w:r w:rsidRPr="005A174E">
              <w:rPr>
                <w:rFonts w:ascii="Times New Roman" w:eastAsia="Calibri" w:hAnsi="Times New Roman" w:cs="Times New Roman"/>
                <w:b/>
                <w:sz w:val="18"/>
                <w:szCs w:val="18"/>
                <w:vertAlign w:val="superscript"/>
              </w:rPr>
              <w:t>a</w:t>
            </w:r>
            <w:proofErr w:type="spellEnd"/>
          </w:p>
        </w:tc>
        <w:tc>
          <w:tcPr>
            <w:tcW w:w="1170" w:type="dxa"/>
            <w:vAlign w:val="center"/>
          </w:tcPr>
          <w:p w14:paraId="4711F27F" w14:textId="77777777" w:rsidR="005A174E" w:rsidRPr="005A174E" w:rsidRDefault="005A174E" w:rsidP="005A174E">
            <w:pPr>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 xml:space="preserve">Waste </w:t>
            </w:r>
            <w:proofErr w:type="spellStart"/>
            <w:r w:rsidRPr="005A174E">
              <w:rPr>
                <w:rFonts w:ascii="Times New Roman" w:eastAsia="Calibri" w:hAnsi="Times New Roman" w:cs="Times New Roman"/>
                <w:b/>
                <w:sz w:val="18"/>
                <w:szCs w:val="18"/>
              </w:rPr>
              <w:t>Class</w:t>
            </w:r>
            <w:r w:rsidRPr="005A174E">
              <w:rPr>
                <w:rFonts w:ascii="Times New Roman" w:eastAsia="Calibri" w:hAnsi="Times New Roman" w:cs="Times New Roman"/>
                <w:b/>
                <w:sz w:val="18"/>
                <w:szCs w:val="18"/>
                <w:vertAlign w:val="superscript"/>
              </w:rPr>
              <w:t>b</w:t>
            </w:r>
            <w:proofErr w:type="spellEnd"/>
          </w:p>
        </w:tc>
      </w:tr>
      <w:tr w:rsidR="005A174E" w:rsidRPr="005A174E" w14:paraId="29585240" w14:textId="77777777" w:rsidTr="00153B21">
        <w:trPr>
          <w:trHeight w:val="890"/>
        </w:trPr>
        <w:tc>
          <w:tcPr>
            <w:tcW w:w="4405" w:type="dxa"/>
            <w:tcBorders>
              <w:top w:val="single" w:sz="4" w:space="0" w:color="005288"/>
              <w:left w:val="single" w:sz="4" w:space="0" w:color="005288"/>
              <w:right w:val="single" w:sz="4" w:space="0" w:color="005288"/>
            </w:tcBorders>
          </w:tcPr>
          <w:p w14:paraId="39538BFD" w14:textId="77777777" w:rsidR="005A174E" w:rsidRPr="005A174E" w:rsidRDefault="005A174E" w:rsidP="005A174E">
            <w:pPr>
              <w:tabs>
                <w:tab w:val="left" w:pos="805"/>
              </w:tabs>
              <w:kinsoku w:val="0"/>
              <w:overflowPunct w:val="0"/>
              <w:autoSpaceDE w:val="0"/>
              <w:autoSpaceDN w:val="0"/>
              <w:adjustRightInd w:val="0"/>
              <w:spacing w:before="45" w:line="200" w:lineRule="exact"/>
              <w:ind w:left="69" w:right="92"/>
              <w:rPr>
                <w:rFonts w:ascii="Times New Roman" w:eastAsia="Calibri" w:hAnsi="Times New Roman" w:cs="Times New Roman"/>
                <w:sz w:val="18"/>
                <w:szCs w:val="18"/>
              </w:rPr>
            </w:pPr>
            <w:r w:rsidRPr="005A174E">
              <w:rPr>
                <w:rFonts w:ascii="Times New Roman" w:eastAsia="Calibri" w:hAnsi="Times New Roman" w:cs="Times New Roman"/>
                <w:sz w:val="18"/>
                <w:szCs w:val="18"/>
              </w:rPr>
              <w:t>Portable gauges (moisture and density) used in the field at construction sites and on farms</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The gauges are typically used to determine the moisture and density of a material such as soil or</w:t>
            </w:r>
            <w:r w:rsidRPr="005A174E">
              <w:rPr>
                <w:rFonts w:ascii="Times New Roman" w:eastAsia="Calibri" w:hAnsi="Times New Roman" w:cs="Times New Roman"/>
                <w:spacing w:val="-1"/>
                <w:sz w:val="18"/>
                <w:szCs w:val="18"/>
              </w:rPr>
              <w:t xml:space="preserve"> </w:t>
            </w:r>
            <w:r w:rsidRPr="005A174E">
              <w:rPr>
                <w:rFonts w:ascii="Times New Roman" w:eastAsia="Calibri" w:hAnsi="Times New Roman" w:cs="Times New Roman"/>
                <w:sz w:val="18"/>
                <w:szCs w:val="18"/>
              </w:rPr>
              <w:t>asphalt.</w:t>
            </w:r>
          </w:p>
        </w:tc>
        <w:tc>
          <w:tcPr>
            <w:tcW w:w="1530" w:type="dxa"/>
            <w:tcBorders>
              <w:top w:val="single" w:sz="4" w:space="0" w:color="005288"/>
              <w:left w:val="single" w:sz="4" w:space="0" w:color="005288"/>
              <w:bottom w:val="single" w:sz="4" w:space="0" w:color="005288"/>
              <w:right w:val="single" w:sz="4" w:space="0" w:color="005288"/>
            </w:tcBorders>
            <w:vAlign w:val="center"/>
          </w:tcPr>
          <w:p w14:paraId="552E3D6E" w14:textId="77777777" w:rsidR="005A174E" w:rsidRPr="005A174E" w:rsidRDefault="005A174E" w:rsidP="00AC42CB">
            <w:pPr>
              <w:tabs>
                <w:tab w:val="left" w:pos="805"/>
              </w:tabs>
              <w:kinsoku w:val="0"/>
              <w:overflowPunct w:val="0"/>
              <w:autoSpaceDE w:val="0"/>
              <w:autoSpaceDN w:val="0"/>
              <w:adjustRightInd w:val="0"/>
              <w:spacing w:before="45" w:line="200" w:lineRule="exact"/>
              <w:ind w:left="69"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Americium-241/ Beryllium</w:t>
            </w:r>
          </w:p>
        </w:tc>
        <w:tc>
          <w:tcPr>
            <w:tcW w:w="1350" w:type="dxa"/>
            <w:tcBorders>
              <w:top w:val="single" w:sz="4" w:space="0" w:color="005288"/>
              <w:left w:val="single" w:sz="4" w:space="0" w:color="005288"/>
              <w:bottom w:val="single" w:sz="4" w:space="0" w:color="005288"/>
              <w:right w:val="single" w:sz="4" w:space="0" w:color="005288"/>
            </w:tcBorders>
            <w:vAlign w:val="center"/>
          </w:tcPr>
          <w:p w14:paraId="69F77A9A" w14:textId="77777777" w:rsidR="005A174E" w:rsidRPr="005A174E" w:rsidRDefault="005A174E" w:rsidP="00646A83">
            <w:pPr>
              <w:kinsoku w:val="0"/>
              <w:overflowPunct w:val="0"/>
              <w:autoSpaceDE w:val="0"/>
              <w:autoSpaceDN w:val="0"/>
              <w:adjustRightInd w:val="0"/>
              <w:spacing w:before="18"/>
              <w:ind w:left="69"/>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0.01-3</w:t>
            </w:r>
          </w:p>
        </w:tc>
        <w:tc>
          <w:tcPr>
            <w:tcW w:w="990" w:type="dxa"/>
            <w:tcBorders>
              <w:top w:val="single" w:sz="4" w:space="0" w:color="005288"/>
              <w:left w:val="single" w:sz="4" w:space="0" w:color="005288"/>
              <w:bottom w:val="single" w:sz="4" w:space="0" w:color="005288"/>
              <w:right w:val="single" w:sz="4" w:space="0" w:color="005288"/>
            </w:tcBorders>
            <w:vAlign w:val="center"/>
          </w:tcPr>
          <w:p w14:paraId="56275763" w14:textId="77777777" w:rsidR="005A174E" w:rsidRPr="005A174E" w:rsidRDefault="005A174E" w:rsidP="00646A83">
            <w:pPr>
              <w:kinsoku w:val="0"/>
              <w:overflowPunct w:val="0"/>
              <w:autoSpaceDE w:val="0"/>
              <w:autoSpaceDN w:val="0"/>
              <w:adjustRightInd w:val="0"/>
              <w:spacing w:before="18"/>
              <w:ind w:left="69"/>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3,4,5</w:t>
            </w:r>
          </w:p>
        </w:tc>
        <w:tc>
          <w:tcPr>
            <w:tcW w:w="1170" w:type="dxa"/>
            <w:tcBorders>
              <w:top w:val="single" w:sz="4" w:space="0" w:color="005288"/>
              <w:left w:val="single" w:sz="4" w:space="0" w:color="005288"/>
              <w:right w:val="single" w:sz="4" w:space="0" w:color="auto"/>
            </w:tcBorders>
            <w:vAlign w:val="center"/>
          </w:tcPr>
          <w:p w14:paraId="3E504AF4" w14:textId="77777777" w:rsidR="005A174E" w:rsidRPr="005A174E" w:rsidRDefault="005A174E" w:rsidP="00646A83">
            <w:pPr>
              <w:kinsoku w:val="0"/>
              <w:overflowPunct w:val="0"/>
              <w:autoSpaceDE w:val="0"/>
              <w:autoSpaceDN w:val="0"/>
              <w:adjustRightInd w:val="0"/>
              <w:spacing w:before="45" w:line="200" w:lineRule="exact"/>
              <w:ind w:left="69" w:right="69"/>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A, B, C, GTCC</w:t>
            </w:r>
          </w:p>
        </w:tc>
      </w:tr>
      <w:tr w:rsidR="005A174E" w:rsidRPr="005A174E" w14:paraId="3B710387" w14:textId="77777777" w:rsidTr="00410183">
        <w:trPr>
          <w:trHeight w:val="2060"/>
        </w:trPr>
        <w:tc>
          <w:tcPr>
            <w:tcW w:w="9445" w:type="dxa"/>
            <w:gridSpan w:val="5"/>
          </w:tcPr>
          <w:p w14:paraId="3C583266" w14:textId="77777777" w:rsidR="005A174E" w:rsidRPr="005A174E" w:rsidRDefault="005A174E" w:rsidP="005A174E">
            <w:pPr>
              <w:spacing w:before="60"/>
              <w:ind w:right="72"/>
              <w:rPr>
                <w:rFonts w:ascii="Times New Roman" w:eastAsia="Calibri" w:hAnsi="Times New Roman" w:cs="Times New Roman"/>
                <w:sz w:val="18"/>
                <w:szCs w:val="18"/>
              </w:rPr>
            </w:pPr>
            <w:r w:rsidRPr="005A174E">
              <w:rPr>
                <w:rFonts w:ascii="Times New Roman" w:eastAsia="Calibri" w:hAnsi="Times New Roman" w:cs="Times New Roman"/>
                <w:sz w:val="18"/>
                <w:szCs w:val="18"/>
              </w:rPr>
              <w:t>a.  The International Atomic Energy Agency (IAEA) categorization system is based on “the potential for radioactive sources to cause deterministic health effects</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This potential is due partly to the physical properties of the source, especially its activity, and partly to the way in which the source is used.” See, IAEA Safety Guide No. RS-G-1.9, Categorization of Radioactive Sources 2005, Annex I, page 37, available at http:// www-pub.iaea.org/MTCD/publications/PDF/Pub1227_web.pdf.</w:t>
            </w:r>
          </w:p>
          <w:p w14:paraId="6BFBF19D" w14:textId="40613297" w:rsidR="005A174E" w:rsidRPr="005A174E" w:rsidRDefault="005A174E" w:rsidP="00410183">
            <w:pPr>
              <w:spacing w:before="60"/>
              <w:ind w:right="72"/>
              <w:rPr>
                <w:rFonts w:ascii="Times New Roman" w:eastAsia="Calibri" w:hAnsi="Times New Roman" w:cs="Times New Roman"/>
                <w:sz w:val="18"/>
                <w:szCs w:val="18"/>
              </w:rPr>
            </w:pPr>
            <w:r w:rsidRPr="005A174E">
              <w:rPr>
                <w:rFonts w:ascii="Times New Roman" w:eastAsia="Calibri" w:hAnsi="Times New Roman" w:cs="Times New Roman"/>
                <w:sz w:val="18"/>
                <w:szCs w:val="18"/>
              </w:rPr>
              <w:t>b.  Refers to Nuclear Regulatory Commission’s (NRC’s) classification of LLRW for land disposal found in 10 CFR Part 61.  Activity per unit mass or volume classification limits are related to relative hazard and necessity for waste isolation</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Class A represents the least hazard, Class B represents a greater hazard, and Class C the greatest hazard appropriate for near surface disposal</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Waste with an activity concentration Greater- Than-Class-C (GTCC) must be disposed of in a geologic repository unless NRC approves an alternate disposal site.</w:t>
            </w:r>
          </w:p>
        </w:tc>
      </w:tr>
    </w:tbl>
    <w:p w14:paraId="1C7112F7" w14:textId="77777777" w:rsidR="00285FC3" w:rsidRDefault="00285FC3" w:rsidP="009870EB">
      <w:pPr>
        <w:rPr>
          <w:rFonts w:ascii="Times New Roman" w:hAnsi="Times New Roman" w:cs="Times New Roman"/>
          <w:sz w:val="24"/>
        </w:rPr>
      </w:pPr>
    </w:p>
    <w:p w14:paraId="5E8AF3BF" w14:textId="77777777" w:rsidR="00D85C91" w:rsidRDefault="00D85C91" w:rsidP="00D85C91">
      <w:pPr>
        <w:rPr>
          <w:rFonts w:ascii="Times New Roman" w:hAnsi="Times New Roman" w:cs="Times New Roman"/>
          <w:sz w:val="24"/>
        </w:rPr>
      </w:pPr>
      <w:r>
        <w:rPr>
          <w:rFonts w:ascii="Times New Roman" w:hAnsi="Times New Roman" w:cs="Times New Roman"/>
          <w:sz w:val="24"/>
        </w:rPr>
        <w:t>Please note that this information is intended as a guide only and does not include the entire universe of radioactive sealed sources and devices.  The listed costs are provided as estimates only based on current information and guidance and should not be relied upon as determinative of actual future disposal costs.</w:t>
      </w:r>
    </w:p>
    <w:p w14:paraId="13B5D92E" w14:textId="77777777" w:rsidR="00D85C91" w:rsidRDefault="00D85C91" w:rsidP="00D85C91">
      <w:pPr>
        <w:rPr>
          <w:rFonts w:ascii="Times New Roman" w:hAnsi="Times New Roman" w:cs="Times New Roman"/>
          <w:sz w:val="24"/>
        </w:rPr>
      </w:pPr>
    </w:p>
    <w:p w14:paraId="425977AD" w14:textId="77777777" w:rsidR="00D85C91" w:rsidRPr="00023B4D" w:rsidRDefault="00D85C91" w:rsidP="00D85C91">
      <w:pPr>
        <w:rPr>
          <w:rFonts w:ascii="Times New Roman" w:eastAsia="Calibri" w:hAnsi="Times New Roman" w:cs="Times New Roman"/>
          <w:sz w:val="24"/>
        </w:rPr>
      </w:pPr>
      <w:r w:rsidRPr="00023B4D">
        <w:rPr>
          <w:rFonts w:ascii="Times New Roman" w:eastAsia="Calibri" w:hAnsi="Times New Roman" w:cs="Times New Roman"/>
          <w:sz w:val="24"/>
        </w:rPr>
        <w:t xml:space="preserve">When radioactive sealed sources have decayed to a point where the source or device no longer functions as designed, the source can either be replaced or the entire source or device can be properly dispositioned (i.e. </w:t>
      </w:r>
      <w:r>
        <w:rPr>
          <w:rFonts w:ascii="Times New Roman" w:eastAsia="Calibri" w:hAnsi="Times New Roman" w:cs="Times New Roman"/>
          <w:sz w:val="24"/>
        </w:rPr>
        <w:t xml:space="preserve">by </w:t>
      </w:r>
      <w:r w:rsidRPr="00023B4D">
        <w:rPr>
          <w:rFonts w:ascii="Times New Roman" w:eastAsia="Calibri" w:hAnsi="Times New Roman" w:cs="Times New Roman"/>
          <w:sz w:val="24"/>
        </w:rPr>
        <w:t xml:space="preserve">return of the item to the manufacturer, transfer to a third party for reuse or recycle, or by disposal as low-level radioactive waste). </w:t>
      </w:r>
      <w:r>
        <w:rPr>
          <w:rFonts w:ascii="Times New Roman" w:eastAsia="Calibri" w:hAnsi="Times New Roman" w:cs="Times New Roman"/>
          <w:sz w:val="24"/>
        </w:rPr>
        <w:t xml:space="preserve"> D</w:t>
      </w:r>
      <w:r w:rsidRPr="00023B4D">
        <w:rPr>
          <w:rFonts w:ascii="Times New Roman" w:eastAsia="Calibri" w:hAnsi="Times New Roman" w:cs="Times New Roman"/>
          <w:sz w:val="24"/>
        </w:rPr>
        <w:t>epending on the radionuclide and its activity</w:t>
      </w:r>
      <w:r>
        <w:rPr>
          <w:rFonts w:ascii="Times New Roman" w:eastAsia="Calibri" w:hAnsi="Times New Roman" w:cs="Times New Roman"/>
          <w:sz w:val="24"/>
        </w:rPr>
        <w:t>, not all options may be available.</w:t>
      </w:r>
    </w:p>
    <w:p w14:paraId="7D510A00" w14:textId="77777777" w:rsidR="00D85C91" w:rsidRPr="00023B4D" w:rsidRDefault="00D85C91" w:rsidP="00D85C91">
      <w:pPr>
        <w:rPr>
          <w:rFonts w:ascii="Times New Roman" w:eastAsia="Calibri" w:hAnsi="Times New Roman" w:cs="Times New Roman"/>
          <w:sz w:val="24"/>
        </w:rPr>
      </w:pPr>
    </w:p>
    <w:p w14:paraId="28F9A042" w14:textId="77777777" w:rsidR="00D85C91" w:rsidRPr="00023B4D" w:rsidRDefault="00D85C91" w:rsidP="00D85C91">
      <w:pPr>
        <w:rPr>
          <w:rFonts w:ascii="Times New Roman" w:eastAsia="Calibri" w:hAnsi="Times New Roman" w:cs="Times New Roman"/>
          <w:sz w:val="24"/>
        </w:rPr>
      </w:pPr>
      <w:r w:rsidRPr="00023B4D">
        <w:rPr>
          <w:rFonts w:ascii="Times New Roman" w:eastAsia="Calibri" w:hAnsi="Times New Roman" w:cs="Times New Roman"/>
          <w:sz w:val="24"/>
        </w:rPr>
        <w:t xml:space="preserve">When evaluating alternatives, </w:t>
      </w:r>
      <w:r>
        <w:rPr>
          <w:rFonts w:ascii="Times New Roman" w:eastAsia="Calibri" w:hAnsi="Times New Roman" w:cs="Times New Roman"/>
          <w:sz w:val="24"/>
        </w:rPr>
        <w:t>the</w:t>
      </w:r>
      <w:r w:rsidRPr="00023B4D">
        <w:rPr>
          <w:rFonts w:ascii="Times New Roman" w:eastAsia="Calibri" w:hAnsi="Times New Roman" w:cs="Times New Roman"/>
          <w:sz w:val="24"/>
        </w:rPr>
        <w:t xml:space="preserve"> user needs to consider the long-term liability associated with the chosen disposition method.  Lower activity sources, or sources without adequate documentation, have a minimal reuse potential.  Higher activity sources have a greater reuse potential since there may still be a useful purpose for the source.  If the source is transferred to a third party for reuse or recycling, the user should seek written assurance or confirmation of the transfer of title to the source.  This </w:t>
      </w:r>
      <w:r>
        <w:rPr>
          <w:rFonts w:ascii="Times New Roman" w:eastAsia="Calibri" w:hAnsi="Times New Roman" w:cs="Times New Roman"/>
          <w:sz w:val="24"/>
        </w:rPr>
        <w:t>may</w:t>
      </w:r>
      <w:r w:rsidRPr="00023B4D">
        <w:rPr>
          <w:rFonts w:ascii="Times New Roman" w:eastAsia="Calibri" w:hAnsi="Times New Roman" w:cs="Times New Roman"/>
          <w:sz w:val="24"/>
        </w:rPr>
        <w:t xml:space="preserve"> </w:t>
      </w:r>
      <w:r>
        <w:rPr>
          <w:rFonts w:ascii="Times New Roman" w:eastAsia="Calibri" w:hAnsi="Times New Roman" w:cs="Times New Roman"/>
          <w:sz w:val="24"/>
        </w:rPr>
        <w:t xml:space="preserve">help </w:t>
      </w:r>
      <w:r w:rsidRPr="00023B4D">
        <w:rPr>
          <w:rFonts w:ascii="Times New Roman" w:eastAsia="Calibri" w:hAnsi="Times New Roman" w:cs="Times New Roman"/>
          <w:sz w:val="24"/>
        </w:rPr>
        <w:t>limit future financial liability.  Transfer to a third party for recycle or reuse without this title transfer leaves the user liable for future financial expense.  Disposal in one of the licensed disposal facilities provides the user with a substantial reduction in long-term liability.</w:t>
      </w:r>
    </w:p>
    <w:p w14:paraId="0B43FE54" w14:textId="77777777" w:rsidR="009870EB" w:rsidRPr="00875AB8" w:rsidRDefault="009870EB" w:rsidP="002C1DD5">
      <w:pPr>
        <w:rPr>
          <w:rFonts w:ascii="Times New Roman" w:hAnsi="Times New Roman" w:cs="Times New Roman"/>
          <w:sz w:val="24"/>
        </w:rPr>
      </w:pPr>
    </w:p>
    <w:sectPr w:rsidR="009870EB" w:rsidRPr="00875AB8" w:rsidSect="00125748">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49EBB" w14:textId="77777777" w:rsidR="005F2C6E" w:rsidRDefault="005F2C6E" w:rsidP="00780150">
      <w:r>
        <w:separator/>
      </w:r>
    </w:p>
  </w:endnote>
  <w:endnote w:type="continuationSeparator" w:id="0">
    <w:p w14:paraId="0E74F784" w14:textId="77777777" w:rsidR="005F2C6E" w:rsidRDefault="005F2C6E" w:rsidP="00780150">
      <w:r>
        <w:continuationSeparator/>
      </w:r>
    </w:p>
  </w:endnote>
  <w:endnote w:type="continuationNotice" w:id="1">
    <w:p w14:paraId="4406DB06" w14:textId="77777777" w:rsidR="005F2C6E" w:rsidRDefault="005F2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9711418"/>
      <w:docPartObj>
        <w:docPartGallery w:val="Page Numbers (Bottom of Page)"/>
        <w:docPartUnique/>
      </w:docPartObj>
    </w:sdtPr>
    <w:sdtEndPr>
      <w:rPr>
        <w:noProof/>
      </w:rPr>
    </w:sdtEndPr>
    <w:sdtContent>
      <w:p w14:paraId="742BC892" w14:textId="62D71C5F" w:rsidR="00125748" w:rsidRDefault="001257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73AE7E" w14:textId="77777777" w:rsidR="009870EB" w:rsidRDefault="00987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AB7CE" w14:textId="77777777" w:rsidR="005F2C6E" w:rsidRDefault="005F2C6E" w:rsidP="00780150">
      <w:r>
        <w:separator/>
      </w:r>
    </w:p>
  </w:footnote>
  <w:footnote w:type="continuationSeparator" w:id="0">
    <w:p w14:paraId="17DCEA40" w14:textId="77777777" w:rsidR="005F2C6E" w:rsidRDefault="005F2C6E" w:rsidP="00780150">
      <w:r>
        <w:continuationSeparator/>
      </w:r>
    </w:p>
  </w:footnote>
  <w:footnote w:type="continuationNotice" w:id="1">
    <w:p w14:paraId="2F4D6C65" w14:textId="77777777" w:rsidR="005F2C6E" w:rsidRDefault="005F2C6E"/>
  </w:footnote>
  <w:footnote w:id="2">
    <w:p w14:paraId="01FF6BBB" w14:textId="77777777" w:rsidR="005A174E" w:rsidRDefault="005A174E" w:rsidP="005A174E">
      <w:pPr>
        <w:rPr>
          <w:rFonts w:ascii="Times New Roman" w:hAnsi="Times New Roman" w:cs="Times New Roman"/>
          <w:sz w:val="24"/>
        </w:rPr>
      </w:pPr>
      <w:r>
        <w:rPr>
          <w:rStyle w:val="FootnoteReference"/>
        </w:rPr>
        <w:footnoteRef/>
      </w:r>
      <w:r>
        <w:t xml:space="preserve"> </w:t>
      </w:r>
      <w:r w:rsidRPr="004B484C">
        <w:rPr>
          <w:rFonts w:ascii="Times New Roman" w:hAnsi="Times New Roman" w:cs="Times New Roman"/>
          <w:sz w:val="20"/>
          <w:szCs w:val="20"/>
        </w:rPr>
        <w:t xml:space="preserve">Excerpted from </w:t>
      </w:r>
      <w:r w:rsidRPr="004B484C">
        <w:rPr>
          <w:rFonts w:ascii="Times New Roman" w:hAnsi="Times New Roman" w:cs="Times New Roman"/>
          <w:i/>
          <w:sz w:val="20"/>
          <w:szCs w:val="20"/>
        </w:rPr>
        <w:t>Sealed Source Disposal and National Security – Problem Statement and Solution Set,</w:t>
      </w:r>
      <w:r w:rsidRPr="004B484C">
        <w:rPr>
          <w:rFonts w:ascii="Times New Roman" w:hAnsi="Times New Roman" w:cs="Times New Roman"/>
          <w:sz w:val="20"/>
          <w:szCs w:val="20"/>
        </w:rPr>
        <w:t xml:space="preserve"> which was a deliverable of the Removal and Disposition of Disused Sources Focus Group of the Radioisotopes </w:t>
      </w:r>
      <w:proofErr w:type="spellStart"/>
      <w:r w:rsidRPr="004B484C">
        <w:rPr>
          <w:rFonts w:ascii="Times New Roman" w:hAnsi="Times New Roman" w:cs="Times New Roman"/>
          <w:sz w:val="20"/>
          <w:szCs w:val="20"/>
        </w:rPr>
        <w:t>Subcouncil</w:t>
      </w:r>
      <w:proofErr w:type="spellEnd"/>
      <w:r w:rsidRPr="004B484C">
        <w:rPr>
          <w:rFonts w:ascii="Times New Roman" w:hAnsi="Times New Roman" w:cs="Times New Roman"/>
          <w:sz w:val="20"/>
          <w:szCs w:val="20"/>
        </w:rPr>
        <w:t xml:space="preserve"> of the Nuclear Government and Sector Coordinating Councils, dated December 9, 2009.  This table identifies some of the sealed source devices and uses, the radionuclides </w:t>
      </w:r>
      <w:r>
        <w:rPr>
          <w:rFonts w:ascii="Times New Roman" w:hAnsi="Times New Roman" w:cs="Times New Roman"/>
          <w:sz w:val="20"/>
          <w:szCs w:val="20"/>
        </w:rPr>
        <w:t>and activity, categorization</w:t>
      </w:r>
      <w:r w:rsidRPr="004B484C">
        <w:rPr>
          <w:rFonts w:ascii="Times New Roman" w:hAnsi="Times New Roman" w:cs="Times New Roman"/>
          <w:sz w:val="20"/>
          <w:szCs w:val="20"/>
        </w:rPr>
        <w:t xml:space="preserve"> by the International Ato</w:t>
      </w:r>
      <w:r>
        <w:rPr>
          <w:rFonts w:ascii="Times New Roman" w:hAnsi="Times New Roman" w:cs="Times New Roman"/>
          <w:sz w:val="20"/>
          <w:szCs w:val="20"/>
        </w:rPr>
        <w:t>mic Energy Agency (IAEA) and</w:t>
      </w:r>
      <w:r w:rsidRPr="004B484C">
        <w:rPr>
          <w:rFonts w:ascii="Times New Roman" w:hAnsi="Times New Roman" w:cs="Times New Roman"/>
          <w:sz w:val="20"/>
          <w:szCs w:val="20"/>
        </w:rPr>
        <w:t xml:space="preserve"> waste classification for disposal purposes.</w:t>
      </w:r>
      <w:r>
        <w:rPr>
          <w:rFonts w:ascii="Times New Roman" w:hAnsi="Times New Roman" w:cs="Times New Roman"/>
          <w:sz w:val="24"/>
        </w:rPr>
        <w:t xml:space="preserve">  </w:t>
      </w:r>
    </w:p>
    <w:p w14:paraId="3ED483F4" w14:textId="77777777" w:rsidR="005A174E" w:rsidRDefault="005A174E" w:rsidP="005A174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1672F" w14:textId="52FABD01" w:rsidR="009870EB" w:rsidRDefault="009870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150"/>
    <w:rsid w:val="00054FB8"/>
    <w:rsid w:val="0006357D"/>
    <w:rsid w:val="00095D59"/>
    <w:rsid w:val="000B4360"/>
    <w:rsid w:val="00125748"/>
    <w:rsid w:val="00133F0D"/>
    <w:rsid w:val="001E787C"/>
    <w:rsid w:val="00254A74"/>
    <w:rsid w:val="00285FC3"/>
    <w:rsid w:val="002C1DD5"/>
    <w:rsid w:val="00327196"/>
    <w:rsid w:val="003C1066"/>
    <w:rsid w:val="00410183"/>
    <w:rsid w:val="004C2FC7"/>
    <w:rsid w:val="004E34E3"/>
    <w:rsid w:val="005673C8"/>
    <w:rsid w:val="005A174E"/>
    <w:rsid w:val="005D4CA9"/>
    <w:rsid w:val="005F2C6E"/>
    <w:rsid w:val="00611CA1"/>
    <w:rsid w:val="00646A83"/>
    <w:rsid w:val="00687EC5"/>
    <w:rsid w:val="007117E1"/>
    <w:rsid w:val="007624CD"/>
    <w:rsid w:val="00780150"/>
    <w:rsid w:val="007819C6"/>
    <w:rsid w:val="0080354D"/>
    <w:rsid w:val="008645D2"/>
    <w:rsid w:val="00875AB8"/>
    <w:rsid w:val="009746FC"/>
    <w:rsid w:val="00985AD6"/>
    <w:rsid w:val="009870EB"/>
    <w:rsid w:val="00A10AED"/>
    <w:rsid w:val="00A81BD0"/>
    <w:rsid w:val="00AB4C60"/>
    <w:rsid w:val="00AC42CB"/>
    <w:rsid w:val="00BC3D77"/>
    <w:rsid w:val="00C053BA"/>
    <w:rsid w:val="00C41DCF"/>
    <w:rsid w:val="00D01E10"/>
    <w:rsid w:val="00D1516D"/>
    <w:rsid w:val="00D445B3"/>
    <w:rsid w:val="00D53211"/>
    <w:rsid w:val="00D85C91"/>
    <w:rsid w:val="00DA4530"/>
    <w:rsid w:val="00DB3757"/>
    <w:rsid w:val="00E36648"/>
    <w:rsid w:val="00EF5140"/>
    <w:rsid w:val="00F05D12"/>
    <w:rsid w:val="00F13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E4CA6"/>
  <w15:chartTrackingRefBased/>
  <w15:docId w15:val="{E35245CB-34B3-4301-B4D4-6DD815E6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80150"/>
    <w:rPr>
      <w:rFonts w:ascii="Times New Roman" w:eastAsia="Times New Roman" w:hAnsi="Times New Roman" w:cs="Times New Roman"/>
      <w:i/>
      <w:iCs/>
      <w:noProof/>
      <w:sz w:val="24"/>
      <w:szCs w:val="24"/>
    </w:rPr>
  </w:style>
  <w:style w:type="character" w:customStyle="1" w:styleId="BodyTextChar">
    <w:name w:val="Body Text Char"/>
    <w:basedOn w:val="DefaultParagraphFont"/>
    <w:link w:val="BodyText"/>
    <w:semiHidden/>
    <w:rsid w:val="00780150"/>
    <w:rPr>
      <w:rFonts w:ascii="Times New Roman" w:eastAsia="Times New Roman" w:hAnsi="Times New Roman" w:cs="Times New Roman"/>
      <w:i/>
      <w:iCs/>
      <w:noProof/>
      <w:sz w:val="24"/>
      <w:szCs w:val="24"/>
    </w:rPr>
  </w:style>
  <w:style w:type="paragraph" w:styleId="FootnoteText">
    <w:name w:val="footnote text"/>
    <w:basedOn w:val="Normal"/>
    <w:link w:val="FootnoteTextChar"/>
    <w:uiPriority w:val="99"/>
    <w:unhideWhenUsed/>
    <w:rsid w:val="00780150"/>
    <w:rPr>
      <w:sz w:val="24"/>
      <w:szCs w:val="24"/>
    </w:rPr>
  </w:style>
  <w:style w:type="character" w:customStyle="1" w:styleId="FootnoteTextChar">
    <w:name w:val="Footnote Text Char"/>
    <w:basedOn w:val="DefaultParagraphFont"/>
    <w:link w:val="FootnoteText"/>
    <w:uiPriority w:val="99"/>
    <w:rsid w:val="00780150"/>
    <w:rPr>
      <w:sz w:val="24"/>
      <w:szCs w:val="24"/>
    </w:rPr>
  </w:style>
  <w:style w:type="character" w:styleId="FootnoteReference">
    <w:name w:val="footnote reference"/>
    <w:basedOn w:val="DefaultParagraphFont"/>
    <w:uiPriority w:val="99"/>
    <w:unhideWhenUsed/>
    <w:rsid w:val="00780150"/>
    <w:rPr>
      <w:vertAlign w:val="superscript"/>
    </w:rPr>
  </w:style>
  <w:style w:type="paragraph" w:styleId="Header">
    <w:name w:val="header"/>
    <w:basedOn w:val="Normal"/>
    <w:link w:val="HeaderChar"/>
    <w:uiPriority w:val="99"/>
    <w:unhideWhenUsed/>
    <w:rsid w:val="009746FC"/>
    <w:pPr>
      <w:tabs>
        <w:tab w:val="center" w:pos="4680"/>
        <w:tab w:val="right" w:pos="9360"/>
      </w:tabs>
    </w:pPr>
  </w:style>
  <w:style w:type="character" w:customStyle="1" w:styleId="HeaderChar">
    <w:name w:val="Header Char"/>
    <w:basedOn w:val="DefaultParagraphFont"/>
    <w:link w:val="Header"/>
    <w:uiPriority w:val="99"/>
    <w:rsid w:val="009746FC"/>
  </w:style>
  <w:style w:type="paragraph" w:styleId="Footer">
    <w:name w:val="footer"/>
    <w:basedOn w:val="Normal"/>
    <w:link w:val="FooterChar"/>
    <w:uiPriority w:val="99"/>
    <w:unhideWhenUsed/>
    <w:rsid w:val="009746FC"/>
    <w:pPr>
      <w:tabs>
        <w:tab w:val="center" w:pos="4680"/>
        <w:tab w:val="right" w:pos="9360"/>
      </w:tabs>
    </w:pPr>
  </w:style>
  <w:style w:type="character" w:customStyle="1" w:styleId="FooterChar">
    <w:name w:val="Footer Char"/>
    <w:basedOn w:val="DefaultParagraphFont"/>
    <w:link w:val="Footer"/>
    <w:uiPriority w:val="99"/>
    <w:rsid w:val="009746FC"/>
  </w:style>
  <w:style w:type="table" w:styleId="TableGrid">
    <w:name w:val="Table Grid"/>
    <w:basedOn w:val="TableNormal"/>
    <w:uiPriority w:val="39"/>
    <w:rsid w:val="005A1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35284">
      <w:bodyDiv w:val="1"/>
      <w:marLeft w:val="0"/>
      <w:marRight w:val="0"/>
      <w:marTop w:val="0"/>
      <w:marBottom w:val="0"/>
      <w:divBdr>
        <w:top w:val="none" w:sz="0" w:space="0" w:color="auto"/>
        <w:left w:val="none" w:sz="0" w:space="0" w:color="auto"/>
        <w:bottom w:val="none" w:sz="0" w:space="0" w:color="auto"/>
        <w:right w:val="none" w:sz="0" w:space="0" w:color="auto"/>
      </w:divBdr>
      <w:divsChild>
        <w:div w:id="578291798">
          <w:marLeft w:val="0"/>
          <w:marRight w:val="0"/>
          <w:marTop w:val="0"/>
          <w:marBottom w:val="0"/>
          <w:divBdr>
            <w:top w:val="none" w:sz="0" w:space="0" w:color="auto"/>
            <w:left w:val="none" w:sz="0" w:space="0" w:color="auto"/>
            <w:bottom w:val="none" w:sz="0" w:space="0" w:color="auto"/>
            <w:right w:val="none" w:sz="0" w:space="0" w:color="auto"/>
          </w:divBdr>
        </w:div>
        <w:div w:id="1117020624">
          <w:marLeft w:val="0"/>
          <w:marRight w:val="0"/>
          <w:marTop w:val="0"/>
          <w:marBottom w:val="0"/>
          <w:divBdr>
            <w:top w:val="none" w:sz="0" w:space="0" w:color="auto"/>
            <w:left w:val="none" w:sz="0" w:space="0" w:color="auto"/>
            <w:bottom w:val="none" w:sz="0" w:space="0" w:color="auto"/>
            <w:right w:val="none" w:sz="0" w:space="0" w:color="auto"/>
          </w:divBdr>
        </w:div>
        <w:div w:id="297730675">
          <w:marLeft w:val="0"/>
          <w:marRight w:val="0"/>
          <w:marTop w:val="0"/>
          <w:marBottom w:val="0"/>
          <w:divBdr>
            <w:top w:val="none" w:sz="0" w:space="0" w:color="auto"/>
            <w:left w:val="none" w:sz="0" w:space="0" w:color="auto"/>
            <w:bottom w:val="none" w:sz="0" w:space="0" w:color="auto"/>
            <w:right w:val="none" w:sz="0" w:space="0" w:color="auto"/>
          </w:divBdr>
        </w:div>
      </w:divsChild>
    </w:div>
    <w:div w:id="212615524">
      <w:bodyDiv w:val="1"/>
      <w:marLeft w:val="0"/>
      <w:marRight w:val="0"/>
      <w:marTop w:val="0"/>
      <w:marBottom w:val="0"/>
      <w:divBdr>
        <w:top w:val="none" w:sz="0" w:space="0" w:color="auto"/>
        <w:left w:val="none" w:sz="0" w:space="0" w:color="auto"/>
        <w:bottom w:val="none" w:sz="0" w:space="0" w:color="auto"/>
        <w:right w:val="none" w:sz="0" w:space="0" w:color="auto"/>
      </w:divBdr>
      <w:divsChild>
        <w:div w:id="348144546">
          <w:marLeft w:val="0"/>
          <w:marRight w:val="0"/>
          <w:marTop w:val="0"/>
          <w:marBottom w:val="0"/>
          <w:divBdr>
            <w:top w:val="none" w:sz="0" w:space="0" w:color="auto"/>
            <w:left w:val="none" w:sz="0" w:space="0" w:color="auto"/>
            <w:bottom w:val="none" w:sz="0" w:space="0" w:color="auto"/>
            <w:right w:val="none" w:sz="0" w:space="0" w:color="auto"/>
          </w:divBdr>
        </w:div>
        <w:div w:id="1240213166">
          <w:marLeft w:val="0"/>
          <w:marRight w:val="0"/>
          <w:marTop w:val="0"/>
          <w:marBottom w:val="0"/>
          <w:divBdr>
            <w:top w:val="none" w:sz="0" w:space="0" w:color="auto"/>
            <w:left w:val="none" w:sz="0" w:space="0" w:color="auto"/>
            <w:bottom w:val="none" w:sz="0" w:space="0" w:color="auto"/>
            <w:right w:val="none" w:sz="0" w:space="0" w:color="auto"/>
          </w:divBdr>
        </w:div>
        <w:div w:id="1915050070">
          <w:marLeft w:val="0"/>
          <w:marRight w:val="0"/>
          <w:marTop w:val="0"/>
          <w:marBottom w:val="0"/>
          <w:divBdr>
            <w:top w:val="none" w:sz="0" w:space="0" w:color="auto"/>
            <w:left w:val="none" w:sz="0" w:space="0" w:color="auto"/>
            <w:bottom w:val="none" w:sz="0" w:space="0" w:color="auto"/>
            <w:right w:val="none" w:sz="0" w:space="0" w:color="auto"/>
          </w:divBdr>
        </w:div>
      </w:divsChild>
    </w:div>
    <w:div w:id="212141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18077-4ECB-4393-9A7B-73EA42D4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Klebe</dc:creator>
  <cp:keywords/>
  <dc:description/>
  <cp:lastModifiedBy>Michael Klebe</cp:lastModifiedBy>
  <cp:revision>10</cp:revision>
  <dcterms:created xsi:type="dcterms:W3CDTF">2020-11-03T19:37:00Z</dcterms:created>
  <dcterms:modified xsi:type="dcterms:W3CDTF">2020-11-03T20:24:00Z</dcterms:modified>
</cp:coreProperties>
</file>