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20FA1" w14:textId="77777777" w:rsidR="009870EB" w:rsidRPr="00306175" w:rsidRDefault="009870EB" w:rsidP="009870EB">
      <w:pPr>
        <w:jc w:val="center"/>
        <w:rPr>
          <w:rFonts w:ascii="Times New Roman" w:hAnsi="Times New Roman" w:cs="Times New Roman"/>
          <w:b/>
          <w:bCs/>
          <w:sz w:val="32"/>
        </w:rPr>
      </w:pPr>
      <w:r w:rsidRPr="00306175">
        <w:rPr>
          <w:rFonts w:ascii="Times New Roman" w:hAnsi="Times New Roman" w:cs="Times New Roman"/>
          <w:b/>
          <w:bCs/>
          <w:sz w:val="32"/>
        </w:rPr>
        <w:t>LOW-LEVEL RADIOACTIVE WASTE FORUM, INC.</w:t>
      </w:r>
    </w:p>
    <w:p w14:paraId="278E86BB" w14:textId="77777777" w:rsidR="009870EB" w:rsidRPr="00306175" w:rsidRDefault="009870EB" w:rsidP="009870EB">
      <w:pPr>
        <w:jc w:val="center"/>
        <w:rPr>
          <w:rFonts w:ascii="Times New Roman" w:hAnsi="Times New Roman" w:cs="Times New Roman"/>
          <w:b/>
          <w:bCs/>
          <w:sz w:val="16"/>
          <w:szCs w:val="20"/>
        </w:rPr>
      </w:pPr>
    </w:p>
    <w:p w14:paraId="21D3757F" w14:textId="77777777" w:rsidR="009870EB" w:rsidRPr="00780150" w:rsidRDefault="009870EB" w:rsidP="009870EB">
      <w:pPr>
        <w:jc w:val="center"/>
        <w:rPr>
          <w:rFonts w:ascii="Times New Roman" w:hAnsi="Times New Roman" w:cs="Times New Roman"/>
          <w:b/>
          <w:bCs/>
        </w:rPr>
      </w:pPr>
      <w:r w:rsidRPr="00780150">
        <w:rPr>
          <w:rFonts w:ascii="Times New Roman" w:hAnsi="Times New Roman" w:cs="Times New Roman"/>
          <w:b/>
          <w:bCs/>
        </w:rPr>
        <w:t>309 Bradley Boulevard</w:t>
      </w:r>
      <w:r>
        <w:rPr>
          <w:rFonts w:ascii="Times New Roman" w:hAnsi="Times New Roman" w:cs="Times New Roman"/>
          <w:b/>
          <w:bCs/>
        </w:rPr>
        <w:t xml:space="preserve">, </w:t>
      </w:r>
      <w:r w:rsidRPr="00780150">
        <w:rPr>
          <w:rFonts w:ascii="Times New Roman" w:hAnsi="Times New Roman" w:cs="Times New Roman"/>
          <w:b/>
          <w:bCs/>
        </w:rPr>
        <w:t>Suite 201</w:t>
      </w:r>
      <w:r>
        <w:rPr>
          <w:rFonts w:ascii="Times New Roman" w:hAnsi="Times New Roman" w:cs="Times New Roman"/>
          <w:b/>
          <w:bCs/>
        </w:rPr>
        <w:t xml:space="preserve">, </w:t>
      </w:r>
      <w:r w:rsidRPr="00780150">
        <w:rPr>
          <w:rFonts w:ascii="Times New Roman" w:hAnsi="Times New Roman" w:cs="Times New Roman"/>
          <w:b/>
          <w:bCs/>
        </w:rPr>
        <w:t>Richland, WA 99352</w:t>
      </w:r>
    </w:p>
    <w:p w14:paraId="484F6081" w14:textId="77777777" w:rsidR="009870EB" w:rsidRPr="00780150" w:rsidRDefault="009870EB" w:rsidP="009870EB">
      <w:pPr>
        <w:jc w:val="center"/>
        <w:rPr>
          <w:rFonts w:ascii="Times New Roman" w:hAnsi="Times New Roman" w:cs="Times New Roman"/>
          <w:b/>
          <w:bCs/>
        </w:rPr>
      </w:pPr>
      <w:r w:rsidRPr="00780150">
        <w:rPr>
          <w:rFonts w:ascii="Times New Roman" w:hAnsi="Times New Roman" w:cs="Times New Roman"/>
          <w:b/>
          <w:bCs/>
        </w:rPr>
        <w:t>801-580-3201</w:t>
      </w:r>
      <w:r>
        <w:rPr>
          <w:rFonts w:ascii="Times New Roman" w:hAnsi="Times New Roman" w:cs="Times New Roman"/>
          <w:b/>
          <w:bCs/>
        </w:rPr>
        <w:t xml:space="preserve"> – dshrum@llwforum.org</w:t>
      </w:r>
    </w:p>
    <w:p w14:paraId="283606C3" w14:textId="77777777" w:rsidR="009870EB" w:rsidRPr="001D788D" w:rsidRDefault="009870EB" w:rsidP="009870EB">
      <w:pPr>
        <w:pStyle w:val="BodyText"/>
        <w:pBdr>
          <w:bottom w:val="single" w:sz="12" w:space="1" w:color="auto"/>
        </w:pBdr>
        <w:rPr>
          <w:i w:val="0"/>
          <w:iCs w:val="0"/>
          <w:sz w:val="16"/>
          <w:szCs w:val="16"/>
        </w:rPr>
      </w:pPr>
    </w:p>
    <w:p w14:paraId="3BAE2EC6" w14:textId="77777777" w:rsidR="009870EB" w:rsidRPr="007624CD" w:rsidRDefault="009870EB" w:rsidP="009870EB">
      <w:pPr>
        <w:pStyle w:val="BodyText"/>
        <w:rPr>
          <w:i w:val="0"/>
          <w:iCs w:val="0"/>
          <w:sz w:val="32"/>
          <w:szCs w:val="32"/>
        </w:rPr>
      </w:pPr>
    </w:p>
    <w:p w14:paraId="244523CB" w14:textId="022E2C04" w:rsidR="009870EB" w:rsidRDefault="009870EB" w:rsidP="009870EB">
      <w:pPr>
        <w:jc w:val="center"/>
        <w:rPr>
          <w:rFonts w:ascii="Times New Roman" w:hAnsi="Times New Roman" w:cs="Times New Roman"/>
          <w:b/>
          <w:bCs/>
          <w:sz w:val="32"/>
          <w:szCs w:val="32"/>
        </w:rPr>
      </w:pPr>
      <w:r w:rsidRPr="00780150">
        <w:rPr>
          <w:rFonts w:ascii="Times New Roman" w:hAnsi="Times New Roman" w:cs="Times New Roman"/>
          <w:b/>
          <w:bCs/>
          <w:sz w:val="32"/>
          <w:szCs w:val="32"/>
        </w:rPr>
        <w:t xml:space="preserve">Disposition Options and Costs for </w:t>
      </w:r>
      <w:r>
        <w:rPr>
          <w:rFonts w:ascii="Times New Roman" w:hAnsi="Times New Roman" w:cs="Times New Roman"/>
          <w:b/>
          <w:bCs/>
          <w:sz w:val="32"/>
          <w:szCs w:val="32"/>
        </w:rPr>
        <w:t>Certain Irradiator</w:t>
      </w:r>
    </w:p>
    <w:p w14:paraId="0B7AEFA0" w14:textId="77777777" w:rsidR="009870EB" w:rsidRPr="00780150" w:rsidRDefault="009870EB" w:rsidP="009870EB">
      <w:pPr>
        <w:jc w:val="center"/>
        <w:rPr>
          <w:rFonts w:ascii="Times New Roman" w:hAnsi="Times New Roman" w:cs="Times New Roman"/>
          <w:b/>
          <w:bCs/>
          <w:sz w:val="32"/>
          <w:szCs w:val="32"/>
        </w:rPr>
      </w:pPr>
      <w:r w:rsidRPr="00780150">
        <w:rPr>
          <w:rFonts w:ascii="Times New Roman" w:hAnsi="Times New Roman" w:cs="Times New Roman"/>
          <w:b/>
          <w:bCs/>
          <w:sz w:val="32"/>
          <w:szCs w:val="32"/>
        </w:rPr>
        <w:t>Radioactive Sealed Sources</w:t>
      </w:r>
      <w:r>
        <w:rPr>
          <w:rFonts w:ascii="Times New Roman" w:hAnsi="Times New Roman" w:cs="Times New Roman"/>
          <w:b/>
          <w:bCs/>
          <w:sz w:val="32"/>
          <w:szCs w:val="32"/>
        </w:rPr>
        <w:t xml:space="preserve"> and Devices</w:t>
      </w:r>
    </w:p>
    <w:p w14:paraId="06478E8B" w14:textId="77777777" w:rsidR="009870EB" w:rsidRPr="00780150" w:rsidRDefault="009870EB" w:rsidP="009870EB">
      <w:pPr>
        <w:jc w:val="center"/>
        <w:rPr>
          <w:rFonts w:ascii="Times New Roman" w:hAnsi="Times New Roman" w:cs="Times New Roman"/>
          <w:b/>
          <w:bCs/>
          <w:sz w:val="32"/>
          <w:szCs w:val="32"/>
        </w:rPr>
      </w:pPr>
    </w:p>
    <w:p w14:paraId="00A9C606" w14:textId="0C1E8E41" w:rsidR="009870EB" w:rsidRDefault="009870EB" w:rsidP="00780150">
      <w:pPr>
        <w:rPr>
          <w:rFonts w:ascii="Times New Roman" w:hAnsi="Times New Roman" w:cs="Times New Roman"/>
          <w:sz w:val="24"/>
        </w:rPr>
      </w:pPr>
    </w:p>
    <w:p w14:paraId="4EC88BA7" w14:textId="450809B3" w:rsidR="009870EB" w:rsidRDefault="009870EB" w:rsidP="009870EB">
      <w:pPr>
        <w:rPr>
          <w:rFonts w:ascii="Times New Roman" w:hAnsi="Times New Roman" w:cs="Times New Roman"/>
          <w:sz w:val="24"/>
        </w:rPr>
      </w:pPr>
      <w:r>
        <w:rPr>
          <w:rFonts w:ascii="Times New Roman" w:hAnsi="Times New Roman" w:cs="Times New Roman"/>
          <w:sz w:val="24"/>
        </w:rPr>
        <w:t xml:space="preserve">The American National Standards Institute (ANSI) has established four categories for irradiators.  They include Category I – Self-Contained Irradiator (dry source storage); Category II – Panoramic Irradiator (dry source storage); Category III – Self-Contained Irradiator (wet source storage); </w:t>
      </w:r>
      <w:r w:rsidR="000207CB">
        <w:rPr>
          <w:rFonts w:ascii="Times New Roman" w:hAnsi="Times New Roman" w:cs="Times New Roman"/>
          <w:sz w:val="24"/>
        </w:rPr>
        <w:t>and</w:t>
      </w:r>
      <w:r>
        <w:rPr>
          <w:rFonts w:ascii="Times New Roman" w:hAnsi="Times New Roman" w:cs="Times New Roman"/>
          <w:sz w:val="24"/>
        </w:rPr>
        <w:t xml:space="preserve"> Category IV – Panoramic Irradiator (wet set source storage).  These categories should not be confused with the International Atomic Energy Agency (IAEA) radioactive sealed source categories.  </w:t>
      </w:r>
    </w:p>
    <w:p w14:paraId="7EA27322" w14:textId="77777777" w:rsidR="009870EB" w:rsidRDefault="009870EB" w:rsidP="009870EB">
      <w:pPr>
        <w:rPr>
          <w:rFonts w:ascii="Times New Roman" w:hAnsi="Times New Roman" w:cs="Times New Roman"/>
          <w:sz w:val="24"/>
        </w:rPr>
      </w:pPr>
    </w:p>
    <w:p w14:paraId="3927EE04" w14:textId="77777777" w:rsidR="009870EB" w:rsidRPr="000E36BB" w:rsidRDefault="009870EB" w:rsidP="009870EB">
      <w:pPr>
        <w:keepNext/>
        <w:keepLines/>
        <w:rPr>
          <w:rFonts w:ascii="Times New Roman" w:hAnsi="Times New Roman" w:cs="Times New Roman"/>
          <w:sz w:val="24"/>
          <w:u w:val="single"/>
        </w:rPr>
      </w:pPr>
      <w:r w:rsidRPr="000E36BB">
        <w:rPr>
          <w:rFonts w:ascii="Times New Roman" w:hAnsi="Times New Roman" w:cs="Times New Roman"/>
          <w:sz w:val="24"/>
          <w:u w:val="single"/>
        </w:rPr>
        <w:t>Panoramic Irradiators:</w:t>
      </w:r>
    </w:p>
    <w:p w14:paraId="4BE2E34C" w14:textId="77777777" w:rsidR="009870EB" w:rsidRDefault="009870EB" w:rsidP="009870EB">
      <w:pPr>
        <w:keepNext/>
        <w:keepLines/>
        <w:rPr>
          <w:rFonts w:ascii="Times New Roman" w:hAnsi="Times New Roman" w:cs="Times New Roman"/>
          <w:sz w:val="24"/>
        </w:rPr>
      </w:pPr>
    </w:p>
    <w:p w14:paraId="5A36BE43" w14:textId="77777777" w:rsidR="009870EB" w:rsidRDefault="009870EB" w:rsidP="009870EB">
      <w:pPr>
        <w:rPr>
          <w:rFonts w:ascii="Times New Roman" w:hAnsi="Times New Roman" w:cs="Times New Roman"/>
          <w:sz w:val="24"/>
        </w:rPr>
      </w:pPr>
      <w:r>
        <w:rPr>
          <w:rFonts w:ascii="Times New Roman" w:hAnsi="Times New Roman" w:cs="Times New Roman"/>
          <w:sz w:val="24"/>
        </w:rPr>
        <w:t>Panoramic irradiators are used for the bulk sterilization of medical supplies and equipment, consumer goods (such as cosmetics) and some food products.  These devices use millions of curies of cobalt-60, a gamma emitter.  The sources in a Category II and IV irradiators are typically stored below floor level and are raised to room level when in use.  Source storage is either in a shielded storage container (Category II) or in a pool of water (Category IV).  The irradiator room has access controls to prevent the sources from being raised while personnel are in the room.</w:t>
      </w:r>
    </w:p>
    <w:p w14:paraId="012E0083" w14:textId="77777777" w:rsidR="009870EB" w:rsidRDefault="009870EB" w:rsidP="009870EB">
      <w:pPr>
        <w:rPr>
          <w:rFonts w:ascii="Times New Roman" w:hAnsi="Times New Roman" w:cs="Times New Roman"/>
          <w:sz w:val="24"/>
        </w:rPr>
      </w:pPr>
    </w:p>
    <w:p w14:paraId="5CD651D8" w14:textId="77777777" w:rsidR="009870EB" w:rsidRDefault="009870EB" w:rsidP="009870EB">
      <w:pPr>
        <w:rPr>
          <w:rFonts w:ascii="Times New Roman" w:hAnsi="Times New Roman" w:cs="Times New Roman"/>
          <w:sz w:val="24"/>
        </w:rPr>
      </w:pPr>
      <w:r>
        <w:rPr>
          <w:rFonts w:ascii="Times New Roman" w:hAnsi="Times New Roman" w:cs="Times New Roman"/>
          <w:sz w:val="24"/>
        </w:rPr>
        <w:t>The panoramic irradiator can be operated in either batch mode or in a continuous mode.  When operated in batch mode, the items to be sterilized are placed in the irradiator room in an arrangement where they will be exposed to the sources when the sources are raised.  In a continuous mode, the items to be irradiated are passed in front of the raised sources via an automated conveyor system.  Exposure time is determined based on the desired dose the products are to receive.</w:t>
      </w:r>
    </w:p>
    <w:p w14:paraId="250EA469" w14:textId="77777777" w:rsidR="009870EB" w:rsidRDefault="009870EB" w:rsidP="009870EB">
      <w:pPr>
        <w:rPr>
          <w:rFonts w:ascii="Times New Roman" w:hAnsi="Times New Roman" w:cs="Times New Roman"/>
          <w:sz w:val="24"/>
        </w:rPr>
      </w:pPr>
    </w:p>
    <w:p w14:paraId="3DC62663" w14:textId="77777777" w:rsidR="009870EB" w:rsidRDefault="009870EB" w:rsidP="009870EB">
      <w:pPr>
        <w:rPr>
          <w:rFonts w:ascii="Times New Roman" w:hAnsi="Times New Roman" w:cs="Times New Roman"/>
          <w:sz w:val="24"/>
        </w:rPr>
      </w:pPr>
      <w:r>
        <w:rPr>
          <w:rFonts w:ascii="Times New Roman" w:hAnsi="Times New Roman" w:cs="Times New Roman"/>
          <w:sz w:val="24"/>
        </w:rPr>
        <w:t xml:space="preserve">Category IV irradiators contain millions of curies of Co-60.  With this large quantity of sealed sources, the most viable disposition path is returning the sources to the manufacturer or to a recycler.  Disposing of this quantity of radioactive material is not viable at the existing low-level radioactive waste disposal facilities.  </w:t>
      </w:r>
    </w:p>
    <w:p w14:paraId="75BB806C" w14:textId="77777777" w:rsidR="009870EB" w:rsidRDefault="009870EB" w:rsidP="009870EB">
      <w:pPr>
        <w:rPr>
          <w:rFonts w:ascii="Times New Roman" w:hAnsi="Times New Roman" w:cs="Times New Roman"/>
          <w:sz w:val="24"/>
        </w:rPr>
      </w:pPr>
    </w:p>
    <w:p w14:paraId="353AB4FB" w14:textId="77777777" w:rsidR="009870EB" w:rsidRDefault="009870EB" w:rsidP="009870EB">
      <w:pPr>
        <w:rPr>
          <w:rFonts w:ascii="Times New Roman" w:hAnsi="Times New Roman" w:cs="Times New Roman"/>
          <w:sz w:val="24"/>
        </w:rPr>
      </w:pPr>
      <w:r>
        <w:rPr>
          <w:rFonts w:ascii="Times New Roman" w:hAnsi="Times New Roman" w:cs="Times New Roman"/>
          <w:sz w:val="24"/>
        </w:rPr>
        <w:t xml:space="preserve">There are many cost components in decommissioning a panoramic irradiator.  These cost components include onsite source removal, equipment rental, Type B shipping container rental, </w:t>
      </w:r>
      <w:proofErr w:type="gramStart"/>
      <w:r>
        <w:rPr>
          <w:rFonts w:ascii="Times New Roman" w:hAnsi="Times New Roman" w:cs="Times New Roman"/>
          <w:sz w:val="24"/>
        </w:rPr>
        <w:t>transportation</w:t>
      </w:r>
      <w:proofErr w:type="gramEnd"/>
      <w:r>
        <w:rPr>
          <w:rFonts w:ascii="Times New Roman" w:hAnsi="Times New Roman" w:cs="Times New Roman"/>
          <w:sz w:val="24"/>
        </w:rPr>
        <w:t xml:space="preserve"> and source disposal fee.  As a reference for the total cost to decommission, the aggregate costs can range from $750,000 to $2,500,000.  Source disposal costs represent approximately 50% of the total cost to decommission.  The remainder of the costs is associated </w:t>
      </w:r>
      <w:r>
        <w:rPr>
          <w:rFonts w:ascii="Times New Roman" w:hAnsi="Times New Roman" w:cs="Times New Roman"/>
          <w:sz w:val="24"/>
        </w:rPr>
        <w:lastRenderedPageBreak/>
        <w:t>with onsite work and transportation.  Costs may vary due to location, distance for transportation and total source activity.</w:t>
      </w:r>
    </w:p>
    <w:p w14:paraId="283DE3DE" w14:textId="77777777" w:rsidR="009870EB" w:rsidRDefault="009870EB" w:rsidP="009870EB">
      <w:pPr>
        <w:rPr>
          <w:rFonts w:ascii="Times New Roman" w:hAnsi="Times New Roman" w:cs="Times New Roman"/>
          <w:sz w:val="24"/>
        </w:rPr>
      </w:pPr>
    </w:p>
    <w:p w14:paraId="695B7797" w14:textId="77777777" w:rsidR="009870EB" w:rsidRPr="000E36BB" w:rsidRDefault="009870EB" w:rsidP="009870EB">
      <w:pPr>
        <w:keepNext/>
        <w:keepLines/>
        <w:rPr>
          <w:rFonts w:ascii="Times New Roman" w:hAnsi="Times New Roman" w:cs="Times New Roman"/>
          <w:sz w:val="24"/>
          <w:u w:val="single"/>
        </w:rPr>
      </w:pPr>
      <w:r w:rsidRPr="000E36BB">
        <w:rPr>
          <w:rFonts w:ascii="Times New Roman" w:hAnsi="Times New Roman" w:cs="Times New Roman"/>
          <w:sz w:val="24"/>
          <w:u w:val="single"/>
        </w:rPr>
        <w:t>Self-Contained Irradiators:</w:t>
      </w:r>
    </w:p>
    <w:p w14:paraId="7507C1AE" w14:textId="77777777" w:rsidR="009870EB" w:rsidRDefault="009870EB" w:rsidP="009870EB">
      <w:pPr>
        <w:keepNext/>
        <w:keepLines/>
        <w:rPr>
          <w:rFonts w:ascii="Times New Roman" w:hAnsi="Times New Roman" w:cs="Times New Roman"/>
          <w:sz w:val="24"/>
        </w:rPr>
      </w:pPr>
    </w:p>
    <w:p w14:paraId="459E2AA5" w14:textId="77777777" w:rsidR="009870EB" w:rsidRDefault="009870EB" w:rsidP="009870EB">
      <w:pPr>
        <w:rPr>
          <w:rFonts w:ascii="Times New Roman" w:hAnsi="Times New Roman" w:cs="Times New Roman"/>
          <w:sz w:val="24"/>
        </w:rPr>
      </w:pPr>
      <w:r>
        <w:rPr>
          <w:rFonts w:ascii="Times New Roman" w:hAnsi="Times New Roman" w:cs="Times New Roman"/>
          <w:sz w:val="24"/>
        </w:rPr>
        <w:t xml:space="preserve">Self-contained or self-shielding irradiators are used to irradiate small quantities of material in a batch mode process.  These irradiators can use radioactive material (Cs-137 or Co-60) or x-rays to provide the required dose.  The size of these irradiators will vary, but they typically have a footprint of 8 to 15 square feet and can weigh two thousand to six thousand pounds.  </w:t>
      </w:r>
    </w:p>
    <w:p w14:paraId="5FD6CE49" w14:textId="77777777" w:rsidR="009870EB" w:rsidRDefault="009870EB" w:rsidP="009870EB">
      <w:pPr>
        <w:rPr>
          <w:rFonts w:ascii="Times New Roman" w:hAnsi="Times New Roman" w:cs="Times New Roman"/>
          <w:sz w:val="24"/>
        </w:rPr>
      </w:pPr>
    </w:p>
    <w:p w14:paraId="4EB4B843" w14:textId="188CC43C" w:rsidR="009870EB" w:rsidRDefault="009870EB" w:rsidP="009870EB">
      <w:pPr>
        <w:rPr>
          <w:rFonts w:ascii="Times New Roman" w:hAnsi="Times New Roman" w:cs="Times New Roman"/>
          <w:sz w:val="24"/>
        </w:rPr>
      </w:pPr>
      <w:r>
        <w:rPr>
          <w:rFonts w:ascii="Times New Roman" w:hAnsi="Times New Roman" w:cs="Times New Roman"/>
          <w:sz w:val="24"/>
        </w:rPr>
        <w:t xml:space="preserve">A Cs-137 blood irradiator is one example of a self-contained irradiator.  These irradiators typically have a 15 to 20-year operating life and with a 30-year half-life they </w:t>
      </w:r>
      <w:proofErr w:type="gramStart"/>
      <w:r>
        <w:rPr>
          <w:rFonts w:ascii="Times New Roman" w:hAnsi="Times New Roman" w:cs="Times New Roman"/>
          <w:sz w:val="24"/>
        </w:rPr>
        <w:t>don’t</w:t>
      </w:r>
      <w:proofErr w:type="gramEnd"/>
      <w:r>
        <w:rPr>
          <w:rFonts w:ascii="Times New Roman" w:hAnsi="Times New Roman" w:cs="Times New Roman"/>
          <w:sz w:val="24"/>
        </w:rPr>
        <w:t xml:space="preserve"> require re-sourcing during their useful life.  Total activity of the sources </w:t>
      </w:r>
      <w:proofErr w:type="gramStart"/>
      <w:r>
        <w:rPr>
          <w:rFonts w:ascii="Times New Roman" w:hAnsi="Times New Roman" w:cs="Times New Roman"/>
          <w:sz w:val="24"/>
        </w:rPr>
        <w:t>range</w:t>
      </w:r>
      <w:proofErr w:type="gramEnd"/>
      <w:r>
        <w:rPr>
          <w:rFonts w:ascii="Times New Roman" w:hAnsi="Times New Roman" w:cs="Times New Roman"/>
          <w:sz w:val="24"/>
        </w:rPr>
        <w:t xml:space="preserve"> from 600 to 3,000 curies or more.  Disposal of Cs-137 at the existing low-level radioactive waste disposal facilities can be complex due to the waste acceptance criteria at the disposal facilities.  Also, these items require transportation in a Type B shipping container, which currently costs approximately $80,000 to $100,000 to rent.  Some irradiator manufacturers and recyclers maintain their own Type B shipping containers so the Type B rental cost might not be incurred when returning the device to the manufacturer or a recycler.</w:t>
      </w:r>
    </w:p>
    <w:p w14:paraId="6B50E139" w14:textId="18DD4716" w:rsidR="00C41DCF" w:rsidRDefault="00C41DCF" w:rsidP="009870EB">
      <w:pPr>
        <w:rPr>
          <w:rFonts w:ascii="Times New Roman" w:hAnsi="Times New Roman" w:cs="Times New Roman"/>
          <w:sz w:val="24"/>
        </w:rPr>
      </w:pPr>
    </w:p>
    <w:p w14:paraId="2D1F566D" w14:textId="77777777" w:rsidR="005A174E" w:rsidRPr="005A174E" w:rsidRDefault="005A174E" w:rsidP="005A174E">
      <w:pPr>
        <w:keepNext/>
        <w:keepLines/>
        <w:rPr>
          <w:rFonts w:ascii="Times New Roman" w:eastAsia="Calibri" w:hAnsi="Times New Roman" w:cs="Times New Roman"/>
          <w:b/>
          <w:sz w:val="24"/>
        </w:rPr>
      </w:pPr>
      <w:r w:rsidRPr="005A174E">
        <w:rPr>
          <w:rFonts w:ascii="Times New Roman" w:eastAsia="Calibri" w:hAnsi="Times New Roman" w:cs="Times New Roman"/>
          <w:b/>
          <w:sz w:val="24"/>
        </w:rPr>
        <w:t>Table 1 – Widely Used Radioactive Sealed Sources</w:t>
      </w:r>
      <w:r w:rsidRPr="005A174E">
        <w:rPr>
          <w:rFonts w:ascii="Times New Roman" w:eastAsia="Calibri" w:hAnsi="Times New Roman" w:cs="Times New Roman"/>
          <w:b/>
          <w:sz w:val="24"/>
          <w:vertAlign w:val="superscript"/>
        </w:rPr>
        <w:footnoteReference w:id="2"/>
      </w:r>
    </w:p>
    <w:p w14:paraId="01BF0AE7" w14:textId="77777777" w:rsidR="005A174E" w:rsidRPr="005A174E" w:rsidRDefault="005A174E" w:rsidP="005A174E">
      <w:pPr>
        <w:keepNext/>
        <w:keepLines/>
        <w:rPr>
          <w:rFonts w:ascii="Times New Roman" w:eastAsia="Calibri" w:hAnsi="Times New Roman" w:cs="Times New Roman"/>
          <w:sz w:val="24"/>
        </w:rPr>
      </w:pPr>
    </w:p>
    <w:tbl>
      <w:tblPr>
        <w:tblStyle w:val="TableGrid"/>
        <w:tblW w:w="9445" w:type="dxa"/>
        <w:tblLayout w:type="fixed"/>
        <w:tblLook w:val="04A0" w:firstRow="1" w:lastRow="0" w:firstColumn="1" w:lastColumn="0" w:noHBand="0" w:noVBand="1"/>
      </w:tblPr>
      <w:tblGrid>
        <w:gridCol w:w="4405"/>
        <w:gridCol w:w="1530"/>
        <w:gridCol w:w="1350"/>
        <w:gridCol w:w="990"/>
        <w:gridCol w:w="1170"/>
      </w:tblGrid>
      <w:tr w:rsidR="005A174E" w:rsidRPr="005A174E" w14:paraId="0B9CF5D7" w14:textId="77777777" w:rsidTr="00474BC6">
        <w:tc>
          <w:tcPr>
            <w:tcW w:w="4405" w:type="dxa"/>
            <w:vAlign w:val="center"/>
          </w:tcPr>
          <w:p w14:paraId="1911E1B7" w14:textId="77777777" w:rsidR="005A174E" w:rsidRPr="005A174E" w:rsidRDefault="005A174E" w:rsidP="005A174E">
            <w:pPr>
              <w:tabs>
                <w:tab w:val="left" w:pos="805"/>
              </w:tabs>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Device</w:t>
            </w:r>
          </w:p>
        </w:tc>
        <w:tc>
          <w:tcPr>
            <w:tcW w:w="1530" w:type="dxa"/>
            <w:vAlign w:val="center"/>
          </w:tcPr>
          <w:p w14:paraId="5E0CD9E3" w14:textId="77777777" w:rsidR="005A174E" w:rsidRPr="005A174E" w:rsidRDefault="005A174E" w:rsidP="005A174E">
            <w:pPr>
              <w:ind w:right="-23"/>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Radionuclide</w:t>
            </w:r>
          </w:p>
        </w:tc>
        <w:tc>
          <w:tcPr>
            <w:tcW w:w="1350" w:type="dxa"/>
            <w:vAlign w:val="center"/>
          </w:tcPr>
          <w:p w14:paraId="2E0FB0FC" w14:textId="77777777" w:rsidR="005A174E" w:rsidRPr="005A174E" w:rsidRDefault="005A174E" w:rsidP="005A174E">
            <w:pPr>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Typical Activity in Curies (Ci) Range</w:t>
            </w:r>
          </w:p>
        </w:tc>
        <w:tc>
          <w:tcPr>
            <w:tcW w:w="990" w:type="dxa"/>
            <w:vAlign w:val="center"/>
          </w:tcPr>
          <w:p w14:paraId="2B056D05" w14:textId="77777777" w:rsidR="005A174E" w:rsidRPr="005A174E" w:rsidRDefault="005A174E" w:rsidP="005A174E">
            <w:pPr>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 xml:space="preserve">IAEA Source </w:t>
            </w:r>
            <w:proofErr w:type="spellStart"/>
            <w:r w:rsidRPr="005A174E">
              <w:rPr>
                <w:rFonts w:ascii="Times New Roman" w:eastAsia="Calibri" w:hAnsi="Times New Roman" w:cs="Times New Roman"/>
                <w:b/>
                <w:sz w:val="18"/>
                <w:szCs w:val="18"/>
              </w:rPr>
              <w:t>Category</w:t>
            </w:r>
            <w:r w:rsidRPr="005A174E">
              <w:rPr>
                <w:rFonts w:ascii="Times New Roman" w:eastAsia="Calibri" w:hAnsi="Times New Roman" w:cs="Times New Roman"/>
                <w:b/>
                <w:sz w:val="18"/>
                <w:szCs w:val="18"/>
                <w:vertAlign w:val="superscript"/>
              </w:rPr>
              <w:t>a</w:t>
            </w:r>
            <w:proofErr w:type="spellEnd"/>
          </w:p>
        </w:tc>
        <w:tc>
          <w:tcPr>
            <w:tcW w:w="1170" w:type="dxa"/>
            <w:vAlign w:val="center"/>
          </w:tcPr>
          <w:p w14:paraId="0A341882" w14:textId="77777777" w:rsidR="005A174E" w:rsidRPr="005A174E" w:rsidRDefault="005A174E" w:rsidP="005A174E">
            <w:pPr>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 xml:space="preserve">Waste </w:t>
            </w:r>
            <w:proofErr w:type="spellStart"/>
            <w:r w:rsidRPr="005A174E">
              <w:rPr>
                <w:rFonts w:ascii="Times New Roman" w:eastAsia="Calibri" w:hAnsi="Times New Roman" w:cs="Times New Roman"/>
                <w:b/>
                <w:sz w:val="18"/>
                <w:szCs w:val="18"/>
              </w:rPr>
              <w:t>Class</w:t>
            </w:r>
            <w:r w:rsidRPr="005A174E">
              <w:rPr>
                <w:rFonts w:ascii="Times New Roman" w:eastAsia="Calibri" w:hAnsi="Times New Roman" w:cs="Times New Roman"/>
                <w:b/>
                <w:sz w:val="18"/>
                <w:szCs w:val="18"/>
                <w:vertAlign w:val="superscript"/>
              </w:rPr>
              <w:t>b</w:t>
            </w:r>
            <w:proofErr w:type="spellEnd"/>
          </w:p>
        </w:tc>
      </w:tr>
      <w:tr w:rsidR="005A174E" w:rsidRPr="005A174E" w14:paraId="100842CF" w14:textId="77777777" w:rsidTr="00153B21">
        <w:trPr>
          <w:trHeight w:val="719"/>
        </w:trPr>
        <w:tc>
          <w:tcPr>
            <w:tcW w:w="4405" w:type="dxa"/>
          </w:tcPr>
          <w:p w14:paraId="1F8FFEF1" w14:textId="77777777" w:rsidR="005A174E" w:rsidRPr="005A174E" w:rsidRDefault="005A174E" w:rsidP="005A174E">
            <w:pPr>
              <w:tabs>
                <w:tab w:val="left" w:pos="805"/>
              </w:tabs>
              <w:kinsoku w:val="0"/>
              <w:overflowPunct w:val="0"/>
              <w:autoSpaceDE w:val="0"/>
              <w:autoSpaceDN w:val="0"/>
              <w:adjustRightInd w:val="0"/>
              <w:spacing w:before="45" w:line="200" w:lineRule="exact"/>
              <w:ind w:left="66" w:right="644"/>
              <w:rPr>
                <w:rFonts w:ascii="Times New Roman" w:eastAsia="Calibri" w:hAnsi="Times New Roman" w:cs="Times New Roman"/>
                <w:sz w:val="18"/>
                <w:szCs w:val="18"/>
              </w:rPr>
            </w:pPr>
            <w:r w:rsidRPr="005A174E">
              <w:rPr>
                <w:rFonts w:ascii="Times New Roman" w:eastAsia="Calibri" w:hAnsi="Times New Roman" w:cs="Times New Roman"/>
                <w:sz w:val="18"/>
                <w:szCs w:val="18"/>
              </w:rPr>
              <w:t>Panoramic irradiators used to irradiate single-use medical devices and products, cosmetics, food, and plastics.</w:t>
            </w:r>
          </w:p>
        </w:tc>
        <w:tc>
          <w:tcPr>
            <w:tcW w:w="1530" w:type="dxa"/>
            <w:vAlign w:val="center"/>
          </w:tcPr>
          <w:p w14:paraId="7234221D" w14:textId="77777777" w:rsidR="005A174E" w:rsidRPr="005A174E" w:rsidRDefault="005A174E" w:rsidP="004F4740">
            <w:pPr>
              <w:kinsoku w:val="0"/>
              <w:overflowPunct w:val="0"/>
              <w:autoSpaceDE w:val="0"/>
              <w:autoSpaceDN w:val="0"/>
              <w:adjustRightInd w:val="0"/>
              <w:spacing w:before="19"/>
              <w:ind w:left="66"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Cobalt-60</w:t>
            </w:r>
            <w:r w:rsidRPr="005A174E">
              <w:rPr>
                <w:rFonts w:ascii="Times New Roman" w:eastAsia="Calibri" w:hAnsi="Times New Roman" w:cs="Times New Roman"/>
                <w:position w:val="7"/>
                <w:sz w:val="18"/>
                <w:szCs w:val="18"/>
              </w:rPr>
              <w:t>c</w:t>
            </w:r>
          </w:p>
        </w:tc>
        <w:tc>
          <w:tcPr>
            <w:tcW w:w="1350" w:type="dxa"/>
            <w:vAlign w:val="center"/>
          </w:tcPr>
          <w:p w14:paraId="550DA613" w14:textId="77777777" w:rsidR="005A174E" w:rsidRPr="005A174E" w:rsidRDefault="005A174E" w:rsidP="00984695">
            <w:pPr>
              <w:kinsoku w:val="0"/>
              <w:overflowPunct w:val="0"/>
              <w:autoSpaceDE w:val="0"/>
              <w:autoSpaceDN w:val="0"/>
              <w:adjustRightInd w:val="0"/>
              <w:spacing w:before="19" w:line="215" w:lineRule="exact"/>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150,000 -5,000,000</w:t>
            </w:r>
          </w:p>
        </w:tc>
        <w:tc>
          <w:tcPr>
            <w:tcW w:w="990" w:type="dxa"/>
            <w:vAlign w:val="center"/>
          </w:tcPr>
          <w:p w14:paraId="07A90457" w14:textId="77777777" w:rsidR="005A174E" w:rsidRPr="005A174E" w:rsidRDefault="005A174E" w:rsidP="00984695">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1</w:t>
            </w:r>
          </w:p>
        </w:tc>
        <w:tc>
          <w:tcPr>
            <w:tcW w:w="1170" w:type="dxa"/>
            <w:vAlign w:val="center"/>
          </w:tcPr>
          <w:p w14:paraId="7A18447C" w14:textId="77777777" w:rsidR="005A174E" w:rsidRPr="005A174E" w:rsidRDefault="005A174E" w:rsidP="00D53941">
            <w:pPr>
              <w:kinsoku w:val="0"/>
              <w:overflowPunct w:val="0"/>
              <w:autoSpaceDE w:val="0"/>
              <w:autoSpaceDN w:val="0"/>
              <w:adjustRightInd w:val="0"/>
              <w:spacing w:before="19"/>
              <w:ind w:left="66" w:right="69"/>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B</w:t>
            </w:r>
          </w:p>
        </w:tc>
      </w:tr>
      <w:tr w:rsidR="005A174E" w:rsidRPr="005A174E" w14:paraId="75D3E51E" w14:textId="77777777" w:rsidTr="00153B21">
        <w:trPr>
          <w:trHeight w:val="269"/>
        </w:trPr>
        <w:tc>
          <w:tcPr>
            <w:tcW w:w="4405" w:type="dxa"/>
            <w:vMerge w:val="restart"/>
          </w:tcPr>
          <w:p w14:paraId="27F7B91F" w14:textId="77777777" w:rsidR="005A174E" w:rsidRPr="005A174E" w:rsidRDefault="005A174E" w:rsidP="005A174E">
            <w:pPr>
              <w:tabs>
                <w:tab w:val="left" w:pos="805"/>
              </w:tabs>
              <w:kinsoku w:val="0"/>
              <w:overflowPunct w:val="0"/>
              <w:autoSpaceDE w:val="0"/>
              <w:autoSpaceDN w:val="0"/>
              <w:adjustRightInd w:val="0"/>
              <w:spacing w:before="19"/>
              <w:ind w:left="66"/>
              <w:rPr>
                <w:rFonts w:ascii="Times New Roman" w:eastAsia="Calibri" w:hAnsi="Times New Roman" w:cs="Times New Roman"/>
                <w:sz w:val="18"/>
                <w:szCs w:val="18"/>
              </w:rPr>
            </w:pPr>
            <w:r w:rsidRPr="005A174E">
              <w:rPr>
                <w:rFonts w:ascii="Times New Roman" w:eastAsia="Calibri" w:hAnsi="Times New Roman" w:cs="Times New Roman"/>
                <w:sz w:val="18"/>
                <w:szCs w:val="18"/>
              </w:rPr>
              <w:t>Self-shielded irradiators/blood-tissue irradiators.</w:t>
            </w:r>
          </w:p>
        </w:tc>
        <w:tc>
          <w:tcPr>
            <w:tcW w:w="1530" w:type="dxa"/>
            <w:vAlign w:val="center"/>
          </w:tcPr>
          <w:p w14:paraId="65859D65" w14:textId="77777777" w:rsidR="005A174E" w:rsidRPr="005A174E" w:rsidRDefault="005A174E" w:rsidP="004F4740">
            <w:pPr>
              <w:kinsoku w:val="0"/>
              <w:overflowPunct w:val="0"/>
              <w:autoSpaceDE w:val="0"/>
              <w:autoSpaceDN w:val="0"/>
              <w:adjustRightInd w:val="0"/>
              <w:spacing w:before="19"/>
              <w:ind w:left="66"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Cesium-137</w:t>
            </w:r>
          </w:p>
        </w:tc>
        <w:tc>
          <w:tcPr>
            <w:tcW w:w="1350" w:type="dxa"/>
            <w:vAlign w:val="center"/>
          </w:tcPr>
          <w:p w14:paraId="51F4224D" w14:textId="77777777" w:rsidR="005A174E" w:rsidRPr="005A174E" w:rsidRDefault="005A174E" w:rsidP="00984695">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2,500-42,000</w:t>
            </w:r>
          </w:p>
        </w:tc>
        <w:tc>
          <w:tcPr>
            <w:tcW w:w="990" w:type="dxa"/>
            <w:vAlign w:val="center"/>
          </w:tcPr>
          <w:p w14:paraId="1DD4D26B" w14:textId="77777777" w:rsidR="005A174E" w:rsidRPr="005A174E" w:rsidRDefault="005A174E" w:rsidP="00984695">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1,2</w:t>
            </w:r>
          </w:p>
        </w:tc>
        <w:tc>
          <w:tcPr>
            <w:tcW w:w="1170" w:type="dxa"/>
            <w:vMerge w:val="restart"/>
            <w:vAlign w:val="center"/>
          </w:tcPr>
          <w:p w14:paraId="089922AC" w14:textId="77777777" w:rsidR="005A174E" w:rsidRPr="005A174E" w:rsidRDefault="005A174E" w:rsidP="00D53941">
            <w:pPr>
              <w:kinsoku w:val="0"/>
              <w:overflowPunct w:val="0"/>
              <w:autoSpaceDE w:val="0"/>
              <w:autoSpaceDN w:val="0"/>
              <w:adjustRightInd w:val="0"/>
              <w:spacing w:before="45" w:line="200" w:lineRule="exact"/>
              <w:ind w:left="66" w:right="69"/>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B, C, GTCC</w:t>
            </w:r>
          </w:p>
        </w:tc>
      </w:tr>
      <w:tr w:rsidR="005A174E" w:rsidRPr="005A174E" w14:paraId="10B95603" w14:textId="77777777" w:rsidTr="00153B21">
        <w:trPr>
          <w:trHeight w:val="260"/>
        </w:trPr>
        <w:tc>
          <w:tcPr>
            <w:tcW w:w="4405" w:type="dxa"/>
            <w:vMerge/>
          </w:tcPr>
          <w:p w14:paraId="5D09986C"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5429500F" w14:textId="77777777" w:rsidR="005A174E" w:rsidRPr="005A174E" w:rsidRDefault="005A174E" w:rsidP="004F4740">
            <w:pPr>
              <w:kinsoku w:val="0"/>
              <w:overflowPunct w:val="0"/>
              <w:autoSpaceDE w:val="0"/>
              <w:autoSpaceDN w:val="0"/>
              <w:adjustRightInd w:val="0"/>
              <w:spacing w:before="19"/>
              <w:ind w:left="66"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Cobalt-60</w:t>
            </w:r>
            <w:r w:rsidRPr="005A174E">
              <w:rPr>
                <w:rFonts w:ascii="Times New Roman" w:eastAsia="Calibri" w:hAnsi="Times New Roman" w:cs="Times New Roman"/>
                <w:position w:val="7"/>
                <w:sz w:val="18"/>
                <w:szCs w:val="18"/>
              </w:rPr>
              <w:t>c</w:t>
            </w:r>
          </w:p>
        </w:tc>
        <w:tc>
          <w:tcPr>
            <w:tcW w:w="1350" w:type="dxa"/>
            <w:tcBorders>
              <w:top w:val="single" w:sz="4" w:space="0" w:color="005288"/>
              <w:left w:val="single" w:sz="4" w:space="0" w:color="005288"/>
              <w:bottom w:val="single" w:sz="4" w:space="0" w:color="005288"/>
              <w:right w:val="single" w:sz="4" w:space="0" w:color="005288"/>
            </w:tcBorders>
            <w:vAlign w:val="center"/>
          </w:tcPr>
          <w:p w14:paraId="4FF12DB5" w14:textId="77777777" w:rsidR="005A174E" w:rsidRPr="005A174E" w:rsidRDefault="005A174E" w:rsidP="00984695">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1,500-50,000</w:t>
            </w:r>
          </w:p>
        </w:tc>
        <w:tc>
          <w:tcPr>
            <w:tcW w:w="990" w:type="dxa"/>
            <w:tcBorders>
              <w:top w:val="single" w:sz="4" w:space="0" w:color="005288"/>
              <w:left w:val="single" w:sz="4" w:space="0" w:color="005288"/>
              <w:bottom w:val="single" w:sz="4" w:space="0" w:color="005288"/>
              <w:right w:val="single" w:sz="4" w:space="0" w:color="005288"/>
            </w:tcBorders>
            <w:vAlign w:val="center"/>
          </w:tcPr>
          <w:p w14:paraId="727365EC" w14:textId="77777777" w:rsidR="005A174E" w:rsidRPr="005A174E" w:rsidRDefault="005A174E" w:rsidP="00984695">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1</w:t>
            </w:r>
          </w:p>
        </w:tc>
        <w:tc>
          <w:tcPr>
            <w:tcW w:w="1170" w:type="dxa"/>
            <w:vMerge/>
            <w:vAlign w:val="center"/>
          </w:tcPr>
          <w:p w14:paraId="501A0186" w14:textId="77777777" w:rsidR="005A174E" w:rsidRPr="005A174E" w:rsidRDefault="005A174E" w:rsidP="005A174E">
            <w:pPr>
              <w:ind w:right="69"/>
              <w:rPr>
                <w:rFonts w:ascii="Times New Roman" w:eastAsia="Calibri" w:hAnsi="Times New Roman" w:cs="Times New Roman"/>
                <w:sz w:val="18"/>
                <w:szCs w:val="18"/>
              </w:rPr>
            </w:pPr>
          </w:p>
        </w:tc>
      </w:tr>
      <w:tr w:rsidR="005A174E" w:rsidRPr="005A174E" w14:paraId="7223B9E3" w14:textId="77777777" w:rsidTr="00153B21">
        <w:trPr>
          <w:trHeight w:val="2879"/>
        </w:trPr>
        <w:tc>
          <w:tcPr>
            <w:tcW w:w="9445" w:type="dxa"/>
            <w:gridSpan w:val="5"/>
          </w:tcPr>
          <w:p w14:paraId="7D72283D" w14:textId="77777777" w:rsidR="005A174E" w:rsidRPr="005A174E" w:rsidRDefault="005A174E" w:rsidP="005A174E">
            <w:pPr>
              <w:spacing w:before="60"/>
              <w:ind w:right="72"/>
              <w:rPr>
                <w:rFonts w:ascii="Times New Roman" w:eastAsia="Calibri" w:hAnsi="Times New Roman" w:cs="Times New Roman"/>
                <w:sz w:val="18"/>
                <w:szCs w:val="18"/>
              </w:rPr>
            </w:pPr>
            <w:r w:rsidRPr="005A174E">
              <w:rPr>
                <w:rFonts w:ascii="Times New Roman" w:eastAsia="Calibri" w:hAnsi="Times New Roman" w:cs="Times New Roman"/>
                <w:sz w:val="18"/>
                <w:szCs w:val="18"/>
              </w:rPr>
              <w:t>a.  The International Atomic Energy Agency (IAEA) categorization system is based on “the potential for radioactive sources to cause deterministic health effects</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This potential is due partly to the physical properties of the source, especially its activity, and partly to the way in which the source is used.” See, IAEA Safety Guide No. RS-G-1.9, Categorization of Radioactive Sources 2005, Annex I, page 37, available at http:// www-pub.iaea.org/MTCD/publications/PDF/Pub1227_web.pdf.</w:t>
            </w:r>
          </w:p>
          <w:p w14:paraId="1F7EACF7" w14:textId="77777777" w:rsidR="005A174E" w:rsidRPr="005A174E" w:rsidRDefault="005A174E" w:rsidP="005A174E">
            <w:pPr>
              <w:spacing w:before="60"/>
              <w:ind w:right="72"/>
              <w:rPr>
                <w:rFonts w:ascii="Times New Roman" w:eastAsia="Calibri" w:hAnsi="Times New Roman" w:cs="Times New Roman"/>
                <w:sz w:val="18"/>
                <w:szCs w:val="18"/>
              </w:rPr>
            </w:pPr>
            <w:r w:rsidRPr="005A174E">
              <w:rPr>
                <w:rFonts w:ascii="Times New Roman" w:eastAsia="Calibri" w:hAnsi="Times New Roman" w:cs="Times New Roman"/>
                <w:sz w:val="18"/>
                <w:szCs w:val="18"/>
              </w:rPr>
              <w:t>b.  Refers to Nuclear Regulatory Commission’s (NRC’s) classification of LLRW for land disposal found in 10 CFR Part 61.  Activity per unit mass or volume classification limits are related to relative hazard and necessity for waste isolation</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Class A represents the least hazard, Class B represents a greater hazard, and Class C the greatest hazard appropriate for near surface disposal</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Waste with an activity concentration Greater- Than-Class-C (GTCC) must be disposed of in a geologic repository unless NRC approves an alternate disposal site.</w:t>
            </w:r>
          </w:p>
          <w:p w14:paraId="59BE3C7F" w14:textId="77777777" w:rsidR="005A174E" w:rsidRPr="005A174E" w:rsidRDefault="005A174E" w:rsidP="005A174E">
            <w:pPr>
              <w:spacing w:before="60" w:after="60"/>
              <w:ind w:right="72"/>
              <w:rPr>
                <w:rFonts w:ascii="Times New Roman" w:eastAsia="Calibri" w:hAnsi="Times New Roman" w:cs="Times New Roman"/>
                <w:sz w:val="18"/>
                <w:szCs w:val="18"/>
              </w:rPr>
            </w:pPr>
            <w:r w:rsidRPr="005A174E">
              <w:rPr>
                <w:rFonts w:ascii="Times New Roman" w:eastAsia="Calibri" w:hAnsi="Times New Roman" w:cs="Times New Roman"/>
                <w:sz w:val="18"/>
                <w:szCs w:val="18"/>
              </w:rPr>
              <w:t>c.  There are no limits established for cobalt-60 in Class B or C wastes</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Practical considerations such as the effects of external radiation and internal heat generation on transportation, handling, and disposal will limit the concentrations for these wastes</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These wastes shall be Class B unless the concentrations of other nuclides in Table 2 in 10 CFR § 61.55 determine the waste to be Class C independently of these nuclides.</w:t>
            </w:r>
          </w:p>
        </w:tc>
      </w:tr>
    </w:tbl>
    <w:p w14:paraId="788B7CDA" w14:textId="77777777" w:rsidR="005A174E" w:rsidRPr="005A174E" w:rsidRDefault="005A174E" w:rsidP="005A174E">
      <w:pPr>
        <w:rPr>
          <w:rFonts w:ascii="Times New Roman" w:eastAsia="Calibri" w:hAnsi="Times New Roman" w:cs="Times New Roman"/>
          <w:sz w:val="24"/>
        </w:rPr>
      </w:pPr>
    </w:p>
    <w:p w14:paraId="7BFCE8BC" w14:textId="77777777" w:rsidR="00C41DCF" w:rsidRDefault="00C41DCF" w:rsidP="009870EB">
      <w:pPr>
        <w:rPr>
          <w:rFonts w:ascii="Times New Roman" w:hAnsi="Times New Roman" w:cs="Times New Roman"/>
          <w:sz w:val="24"/>
        </w:rPr>
      </w:pPr>
    </w:p>
    <w:p w14:paraId="5473073B" w14:textId="77777777" w:rsidR="00C41DCF" w:rsidRDefault="00C41DCF" w:rsidP="00C41DCF">
      <w:pPr>
        <w:rPr>
          <w:rFonts w:ascii="Times New Roman" w:hAnsi="Times New Roman" w:cs="Times New Roman"/>
          <w:sz w:val="24"/>
        </w:rPr>
      </w:pPr>
      <w:r>
        <w:rPr>
          <w:rFonts w:ascii="Times New Roman" w:hAnsi="Times New Roman" w:cs="Times New Roman"/>
          <w:sz w:val="24"/>
        </w:rPr>
        <w:t>Please note that this information is intended as a guide only and does not include the entire universe of radioactive sealed sources and devices.  The listed costs are provided as estimates only based on current information and guidance and should not be relied upon as determinative of actual future disposal costs.</w:t>
      </w:r>
    </w:p>
    <w:p w14:paraId="5BE94ACF" w14:textId="77777777" w:rsidR="00C41DCF" w:rsidRDefault="00C41DCF" w:rsidP="00C41DCF">
      <w:pPr>
        <w:rPr>
          <w:rFonts w:ascii="Times New Roman" w:hAnsi="Times New Roman" w:cs="Times New Roman"/>
          <w:sz w:val="24"/>
        </w:rPr>
      </w:pPr>
    </w:p>
    <w:p w14:paraId="1FE7C204" w14:textId="77777777" w:rsidR="00C41DCF" w:rsidRPr="00023B4D" w:rsidRDefault="00C41DCF" w:rsidP="00C41DCF">
      <w:pPr>
        <w:rPr>
          <w:rFonts w:ascii="Times New Roman" w:eastAsia="Calibri" w:hAnsi="Times New Roman" w:cs="Times New Roman"/>
          <w:sz w:val="24"/>
        </w:rPr>
      </w:pPr>
      <w:r w:rsidRPr="00023B4D">
        <w:rPr>
          <w:rFonts w:ascii="Times New Roman" w:eastAsia="Calibri" w:hAnsi="Times New Roman" w:cs="Times New Roman"/>
          <w:sz w:val="24"/>
        </w:rPr>
        <w:t xml:space="preserve">When radioactive sealed sources have decayed to a point where the source or device no longer functions as designed, the source can either be replaced or the entire source or device can be properly dispositioned (i.e. </w:t>
      </w:r>
      <w:r>
        <w:rPr>
          <w:rFonts w:ascii="Times New Roman" w:eastAsia="Calibri" w:hAnsi="Times New Roman" w:cs="Times New Roman"/>
          <w:sz w:val="24"/>
        </w:rPr>
        <w:t xml:space="preserve">by </w:t>
      </w:r>
      <w:r w:rsidRPr="00023B4D">
        <w:rPr>
          <w:rFonts w:ascii="Times New Roman" w:eastAsia="Calibri" w:hAnsi="Times New Roman" w:cs="Times New Roman"/>
          <w:sz w:val="24"/>
        </w:rPr>
        <w:t xml:space="preserve">return of the item to the manufacturer, transfer to a third party for reuse or recycle, or by disposal as low-level radioactive waste). </w:t>
      </w:r>
      <w:r>
        <w:rPr>
          <w:rFonts w:ascii="Times New Roman" w:eastAsia="Calibri" w:hAnsi="Times New Roman" w:cs="Times New Roman"/>
          <w:sz w:val="24"/>
        </w:rPr>
        <w:t xml:space="preserve"> D</w:t>
      </w:r>
      <w:r w:rsidRPr="00023B4D">
        <w:rPr>
          <w:rFonts w:ascii="Times New Roman" w:eastAsia="Calibri" w:hAnsi="Times New Roman" w:cs="Times New Roman"/>
          <w:sz w:val="24"/>
        </w:rPr>
        <w:t>epending on the radionuclide and its activity</w:t>
      </w:r>
      <w:r>
        <w:rPr>
          <w:rFonts w:ascii="Times New Roman" w:eastAsia="Calibri" w:hAnsi="Times New Roman" w:cs="Times New Roman"/>
          <w:sz w:val="24"/>
        </w:rPr>
        <w:t>, not all options may be available.</w:t>
      </w:r>
    </w:p>
    <w:p w14:paraId="190ACCA0" w14:textId="77777777" w:rsidR="00C41DCF" w:rsidRPr="00023B4D" w:rsidRDefault="00C41DCF" w:rsidP="00C41DCF">
      <w:pPr>
        <w:rPr>
          <w:rFonts w:ascii="Times New Roman" w:eastAsia="Calibri" w:hAnsi="Times New Roman" w:cs="Times New Roman"/>
          <w:sz w:val="24"/>
        </w:rPr>
      </w:pPr>
    </w:p>
    <w:p w14:paraId="4E58E04E" w14:textId="77777777" w:rsidR="00C41DCF" w:rsidRPr="00023B4D" w:rsidRDefault="00C41DCF" w:rsidP="00C41DCF">
      <w:pPr>
        <w:rPr>
          <w:rFonts w:ascii="Times New Roman" w:eastAsia="Calibri" w:hAnsi="Times New Roman" w:cs="Times New Roman"/>
          <w:sz w:val="24"/>
        </w:rPr>
      </w:pPr>
      <w:r w:rsidRPr="00023B4D">
        <w:rPr>
          <w:rFonts w:ascii="Times New Roman" w:eastAsia="Calibri" w:hAnsi="Times New Roman" w:cs="Times New Roman"/>
          <w:sz w:val="24"/>
        </w:rPr>
        <w:t xml:space="preserve">When evaluating alternatives, </w:t>
      </w:r>
      <w:r>
        <w:rPr>
          <w:rFonts w:ascii="Times New Roman" w:eastAsia="Calibri" w:hAnsi="Times New Roman" w:cs="Times New Roman"/>
          <w:sz w:val="24"/>
        </w:rPr>
        <w:t>the</w:t>
      </w:r>
      <w:r w:rsidRPr="00023B4D">
        <w:rPr>
          <w:rFonts w:ascii="Times New Roman" w:eastAsia="Calibri" w:hAnsi="Times New Roman" w:cs="Times New Roman"/>
          <w:sz w:val="24"/>
        </w:rPr>
        <w:t xml:space="preserve"> user needs to consider the long-term liability associated with the chosen disposition method.  Lower activity sources, or sources without adequate documentation, have a minimal reuse potential.  Higher activity sources have a greater reuse potential since there may still be a useful purpose for the source.  If the source is transferred to a third party for reuse or recycling, the user should seek written assurance or confirmation of the transfer of title to the source.  This </w:t>
      </w:r>
      <w:r>
        <w:rPr>
          <w:rFonts w:ascii="Times New Roman" w:eastAsia="Calibri" w:hAnsi="Times New Roman" w:cs="Times New Roman"/>
          <w:sz w:val="24"/>
        </w:rPr>
        <w:t>may</w:t>
      </w:r>
      <w:r w:rsidRPr="00023B4D">
        <w:rPr>
          <w:rFonts w:ascii="Times New Roman" w:eastAsia="Calibri" w:hAnsi="Times New Roman" w:cs="Times New Roman"/>
          <w:sz w:val="24"/>
        </w:rPr>
        <w:t xml:space="preserve"> </w:t>
      </w:r>
      <w:r>
        <w:rPr>
          <w:rFonts w:ascii="Times New Roman" w:eastAsia="Calibri" w:hAnsi="Times New Roman" w:cs="Times New Roman"/>
          <w:sz w:val="24"/>
        </w:rPr>
        <w:t xml:space="preserve">help </w:t>
      </w:r>
      <w:r w:rsidRPr="00023B4D">
        <w:rPr>
          <w:rFonts w:ascii="Times New Roman" w:eastAsia="Calibri" w:hAnsi="Times New Roman" w:cs="Times New Roman"/>
          <w:sz w:val="24"/>
        </w:rPr>
        <w:t>limit future financial liability.  Transfer to a third party for recycle or reuse without this title transfer leaves the user liable for future financial expense.  Disposal in one of the licensed disposal facilities provides the user with a substantial reduction in long-term liability.</w:t>
      </w:r>
    </w:p>
    <w:p w14:paraId="42A1E36E" w14:textId="77777777" w:rsidR="00C41DCF" w:rsidRPr="00023B4D" w:rsidRDefault="00C41DCF" w:rsidP="00C41DCF">
      <w:pPr>
        <w:rPr>
          <w:rFonts w:ascii="Times New Roman" w:eastAsia="Calibri" w:hAnsi="Times New Roman" w:cs="Times New Roman"/>
          <w:sz w:val="24"/>
        </w:rPr>
      </w:pPr>
    </w:p>
    <w:p w14:paraId="0B43FE54" w14:textId="77777777" w:rsidR="009870EB" w:rsidRPr="00875AB8" w:rsidRDefault="009870EB" w:rsidP="00780150">
      <w:pPr>
        <w:rPr>
          <w:rFonts w:ascii="Times New Roman" w:hAnsi="Times New Roman" w:cs="Times New Roman"/>
          <w:sz w:val="24"/>
        </w:rPr>
      </w:pPr>
    </w:p>
    <w:sectPr w:rsidR="009870EB" w:rsidRPr="00875AB8" w:rsidSect="00E10319">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A2BF3" w14:textId="77777777" w:rsidR="001272A7" w:rsidRDefault="001272A7" w:rsidP="00780150">
      <w:r>
        <w:separator/>
      </w:r>
    </w:p>
  </w:endnote>
  <w:endnote w:type="continuationSeparator" w:id="0">
    <w:p w14:paraId="17BEF621" w14:textId="77777777" w:rsidR="001272A7" w:rsidRDefault="001272A7" w:rsidP="00780150">
      <w:r>
        <w:continuationSeparator/>
      </w:r>
    </w:p>
  </w:endnote>
  <w:endnote w:type="continuationNotice" w:id="1">
    <w:p w14:paraId="3D5E5231" w14:textId="77777777" w:rsidR="001272A7" w:rsidRDefault="00127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7408393"/>
      <w:docPartObj>
        <w:docPartGallery w:val="Page Numbers (Bottom of Page)"/>
        <w:docPartUnique/>
      </w:docPartObj>
    </w:sdtPr>
    <w:sdtEndPr>
      <w:rPr>
        <w:noProof/>
      </w:rPr>
    </w:sdtEndPr>
    <w:sdtContent>
      <w:p w14:paraId="0BFF83C0" w14:textId="6D601384" w:rsidR="00672F10" w:rsidRDefault="00672F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73AE7E" w14:textId="77777777" w:rsidR="009870EB" w:rsidRDefault="00987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2E6B7" w14:textId="77777777" w:rsidR="001272A7" w:rsidRDefault="001272A7" w:rsidP="00780150">
      <w:r>
        <w:separator/>
      </w:r>
    </w:p>
  </w:footnote>
  <w:footnote w:type="continuationSeparator" w:id="0">
    <w:p w14:paraId="61B7F6FF" w14:textId="77777777" w:rsidR="001272A7" w:rsidRDefault="001272A7" w:rsidP="00780150">
      <w:r>
        <w:continuationSeparator/>
      </w:r>
    </w:p>
  </w:footnote>
  <w:footnote w:type="continuationNotice" w:id="1">
    <w:p w14:paraId="28336C4D" w14:textId="77777777" w:rsidR="001272A7" w:rsidRDefault="001272A7"/>
  </w:footnote>
  <w:footnote w:id="2">
    <w:p w14:paraId="1A41A199" w14:textId="77777777" w:rsidR="005A174E" w:rsidRDefault="005A174E" w:rsidP="005A174E">
      <w:pPr>
        <w:rPr>
          <w:rFonts w:ascii="Times New Roman" w:hAnsi="Times New Roman" w:cs="Times New Roman"/>
          <w:sz w:val="24"/>
        </w:rPr>
      </w:pPr>
      <w:r>
        <w:rPr>
          <w:rStyle w:val="FootnoteReference"/>
        </w:rPr>
        <w:footnoteRef/>
      </w:r>
      <w:r>
        <w:t xml:space="preserve"> </w:t>
      </w:r>
      <w:r w:rsidRPr="004B484C">
        <w:rPr>
          <w:rFonts w:ascii="Times New Roman" w:hAnsi="Times New Roman" w:cs="Times New Roman"/>
          <w:sz w:val="20"/>
          <w:szCs w:val="20"/>
        </w:rPr>
        <w:t xml:space="preserve">Excerpted from </w:t>
      </w:r>
      <w:r w:rsidRPr="004B484C">
        <w:rPr>
          <w:rFonts w:ascii="Times New Roman" w:hAnsi="Times New Roman" w:cs="Times New Roman"/>
          <w:i/>
          <w:sz w:val="20"/>
          <w:szCs w:val="20"/>
        </w:rPr>
        <w:t>Sealed Source Disposal and National Security – Problem Statement and Solution Set,</w:t>
      </w:r>
      <w:r w:rsidRPr="004B484C">
        <w:rPr>
          <w:rFonts w:ascii="Times New Roman" w:hAnsi="Times New Roman" w:cs="Times New Roman"/>
          <w:sz w:val="20"/>
          <w:szCs w:val="20"/>
        </w:rPr>
        <w:t xml:space="preserve"> which was a deliverable of the Removal and Disposition of Disused Sources Focus Group of the Radioisotopes Subcouncil of the Nuclear Government and Sector Coordinating Councils, dated December 9, 2009.  This table identifies some of the sealed source devices and uses, the radionuclides </w:t>
      </w:r>
      <w:r>
        <w:rPr>
          <w:rFonts w:ascii="Times New Roman" w:hAnsi="Times New Roman" w:cs="Times New Roman"/>
          <w:sz w:val="20"/>
          <w:szCs w:val="20"/>
        </w:rPr>
        <w:t>and activity, categorization</w:t>
      </w:r>
      <w:r w:rsidRPr="004B484C">
        <w:rPr>
          <w:rFonts w:ascii="Times New Roman" w:hAnsi="Times New Roman" w:cs="Times New Roman"/>
          <w:sz w:val="20"/>
          <w:szCs w:val="20"/>
        </w:rPr>
        <w:t xml:space="preserve"> by the International Ato</w:t>
      </w:r>
      <w:r>
        <w:rPr>
          <w:rFonts w:ascii="Times New Roman" w:hAnsi="Times New Roman" w:cs="Times New Roman"/>
          <w:sz w:val="20"/>
          <w:szCs w:val="20"/>
        </w:rPr>
        <w:t>mic Energy Agency (IAEA) and</w:t>
      </w:r>
      <w:r w:rsidRPr="004B484C">
        <w:rPr>
          <w:rFonts w:ascii="Times New Roman" w:hAnsi="Times New Roman" w:cs="Times New Roman"/>
          <w:sz w:val="20"/>
          <w:szCs w:val="20"/>
        </w:rPr>
        <w:t xml:space="preserve"> waste classification for disposal purposes.</w:t>
      </w:r>
      <w:r>
        <w:rPr>
          <w:rFonts w:ascii="Times New Roman" w:hAnsi="Times New Roman" w:cs="Times New Roman"/>
          <w:sz w:val="24"/>
        </w:rPr>
        <w:t xml:space="preserve">  </w:t>
      </w:r>
    </w:p>
    <w:p w14:paraId="62E11B5C" w14:textId="77777777" w:rsidR="005A174E" w:rsidRDefault="005A174E" w:rsidP="005A174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1672F" w14:textId="7524F76C" w:rsidR="009870EB" w:rsidRDefault="009870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50"/>
    <w:rsid w:val="000207CB"/>
    <w:rsid w:val="00054FB8"/>
    <w:rsid w:val="0006357D"/>
    <w:rsid w:val="00095D59"/>
    <w:rsid w:val="000B4360"/>
    <w:rsid w:val="000C5EE0"/>
    <w:rsid w:val="001272A7"/>
    <w:rsid w:val="00133F0D"/>
    <w:rsid w:val="001E787C"/>
    <w:rsid w:val="002156A7"/>
    <w:rsid w:val="00254A74"/>
    <w:rsid w:val="00285FC3"/>
    <w:rsid w:val="00327196"/>
    <w:rsid w:val="003C1066"/>
    <w:rsid w:val="00474BC6"/>
    <w:rsid w:val="004C2FC7"/>
    <w:rsid w:val="004E34E3"/>
    <w:rsid w:val="004F4740"/>
    <w:rsid w:val="005A174E"/>
    <w:rsid w:val="005D4CA9"/>
    <w:rsid w:val="00611CA1"/>
    <w:rsid w:val="00625FAB"/>
    <w:rsid w:val="00672F10"/>
    <w:rsid w:val="00687EC5"/>
    <w:rsid w:val="007117E1"/>
    <w:rsid w:val="007624CD"/>
    <w:rsid w:val="00780150"/>
    <w:rsid w:val="007819C6"/>
    <w:rsid w:val="0080354D"/>
    <w:rsid w:val="008645D2"/>
    <w:rsid w:val="00875AB8"/>
    <w:rsid w:val="0089524C"/>
    <w:rsid w:val="00902439"/>
    <w:rsid w:val="009746FC"/>
    <w:rsid w:val="00984695"/>
    <w:rsid w:val="00985AD6"/>
    <w:rsid w:val="009870EB"/>
    <w:rsid w:val="00A10AED"/>
    <w:rsid w:val="00A81BD0"/>
    <w:rsid w:val="00AB4C60"/>
    <w:rsid w:val="00C053BA"/>
    <w:rsid w:val="00C41DCF"/>
    <w:rsid w:val="00D05BB6"/>
    <w:rsid w:val="00D1516D"/>
    <w:rsid w:val="00D445B3"/>
    <w:rsid w:val="00D53941"/>
    <w:rsid w:val="00D85C91"/>
    <w:rsid w:val="00DA4530"/>
    <w:rsid w:val="00DB3757"/>
    <w:rsid w:val="00E10319"/>
    <w:rsid w:val="00E36648"/>
    <w:rsid w:val="00EF5140"/>
    <w:rsid w:val="00F05D12"/>
    <w:rsid w:val="00F1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E4CA6"/>
  <w15:chartTrackingRefBased/>
  <w15:docId w15:val="{E35245CB-34B3-4301-B4D4-6DD815E6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80150"/>
    <w:rPr>
      <w:rFonts w:ascii="Times New Roman" w:eastAsia="Times New Roman" w:hAnsi="Times New Roman" w:cs="Times New Roman"/>
      <w:i/>
      <w:iCs/>
      <w:noProof/>
      <w:sz w:val="24"/>
      <w:szCs w:val="24"/>
    </w:rPr>
  </w:style>
  <w:style w:type="character" w:customStyle="1" w:styleId="BodyTextChar">
    <w:name w:val="Body Text Char"/>
    <w:basedOn w:val="DefaultParagraphFont"/>
    <w:link w:val="BodyText"/>
    <w:semiHidden/>
    <w:rsid w:val="00780150"/>
    <w:rPr>
      <w:rFonts w:ascii="Times New Roman" w:eastAsia="Times New Roman" w:hAnsi="Times New Roman" w:cs="Times New Roman"/>
      <w:i/>
      <w:iCs/>
      <w:noProof/>
      <w:sz w:val="24"/>
      <w:szCs w:val="24"/>
    </w:rPr>
  </w:style>
  <w:style w:type="paragraph" w:styleId="FootnoteText">
    <w:name w:val="footnote text"/>
    <w:basedOn w:val="Normal"/>
    <w:link w:val="FootnoteTextChar"/>
    <w:uiPriority w:val="99"/>
    <w:unhideWhenUsed/>
    <w:rsid w:val="00780150"/>
    <w:rPr>
      <w:sz w:val="24"/>
      <w:szCs w:val="24"/>
    </w:rPr>
  </w:style>
  <w:style w:type="character" w:customStyle="1" w:styleId="FootnoteTextChar">
    <w:name w:val="Footnote Text Char"/>
    <w:basedOn w:val="DefaultParagraphFont"/>
    <w:link w:val="FootnoteText"/>
    <w:uiPriority w:val="99"/>
    <w:rsid w:val="00780150"/>
    <w:rPr>
      <w:sz w:val="24"/>
      <w:szCs w:val="24"/>
    </w:rPr>
  </w:style>
  <w:style w:type="character" w:styleId="FootnoteReference">
    <w:name w:val="footnote reference"/>
    <w:basedOn w:val="DefaultParagraphFont"/>
    <w:uiPriority w:val="99"/>
    <w:unhideWhenUsed/>
    <w:rsid w:val="00780150"/>
    <w:rPr>
      <w:vertAlign w:val="superscript"/>
    </w:rPr>
  </w:style>
  <w:style w:type="paragraph" w:styleId="Header">
    <w:name w:val="header"/>
    <w:basedOn w:val="Normal"/>
    <w:link w:val="HeaderChar"/>
    <w:uiPriority w:val="99"/>
    <w:unhideWhenUsed/>
    <w:rsid w:val="009746FC"/>
    <w:pPr>
      <w:tabs>
        <w:tab w:val="center" w:pos="4680"/>
        <w:tab w:val="right" w:pos="9360"/>
      </w:tabs>
    </w:pPr>
  </w:style>
  <w:style w:type="character" w:customStyle="1" w:styleId="HeaderChar">
    <w:name w:val="Header Char"/>
    <w:basedOn w:val="DefaultParagraphFont"/>
    <w:link w:val="Header"/>
    <w:uiPriority w:val="99"/>
    <w:rsid w:val="009746FC"/>
  </w:style>
  <w:style w:type="paragraph" w:styleId="Footer">
    <w:name w:val="footer"/>
    <w:basedOn w:val="Normal"/>
    <w:link w:val="FooterChar"/>
    <w:uiPriority w:val="99"/>
    <w:unhideWhenUsed/>
    <w:rsid w:val="009746FC"/>
    <w:pPr>
      <w:tabs>
        <w:tab w:val="center" w:pos="4680"/>
        <w:tab w:val="right" w:pos="9360"/>
      </w:tabs>
    </w:pPr>
  </w:style>
  <w:style w:type="character" w:customStyle="1" w:styleId="FooterChar">
    <w:name w:val="Footer Char"/>
    <w:basedOn w:val="DefaultParagraphFont"/>
    <w:link w:val="Footer"/>
    <w:uiPriority w:val="99"/>
    <w:rsid w:val="009746FC"/>
  </w:style>
  <w:style w:type="table" w:styleId="TableGrid">
    <w:name w:val="Table Grid"/>
    <w:basedOn w:val="TableNormal"/>
    <w:uiPriority w:val="39"/>
    <w:rsid w:val="005A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35284">
      <w:bodyDiv w:val="1"/>
      <w:marLeft w:val="0"/>
      <w:marRight w:val="0"/>
      <w:marTop w:val="0"/>
      <w:marBottom w:val="0"/>
      <w:divBdr>
        <w:top w:val="none" w:sz="0" w:space="0" w:color="auto"/>
        <w:left w:val="none" w:sz="0" w:space="0" w:color="auto"/>
        <w:bottom w:val="none" w:sz="0" w:space="0" w:color="auto"/>
        <w:right w:val="none" w:sz="0" w:space="0" w:color="auto"/>
      </w:divBdr>
      <w:divsChild>
        <w:div w:id="578291798">
          <w:marLeft w:val="0"/>
          <w:marRight w:val="0"/>
          <w:marTop w:val="0"/>
          <w:marBottom w:val="0"/>
          <w:divBdr>
            <w:top w:val="none" w:sz="0" w:space="0" w:color="auto"/>
            <w:left w:val="none" w:sz="0" w:space="0" w:color="auto"/>
            <w:bottom w:val="none" w:sz="0" w:space="0" w:color="auto"/>
            <w:right w:val="none" w:sz="0" w:space="0" w:color="auto"/>
          </w:divBdr>
        </w:div>
        <w:div w:id="1117020624">
          <w:marLeft w:val="0"/>
          <w:marRight w:val="0"/>
          <w:marTop w:val="0"/>
          <w:marBottom w:val="0"/>
          <w:divBdr>
            <w:top w:val="none" w:sz="0" w:space="0" w:color="auto"/>
            <w:left w:val="none" w:sz="0" w:space="0" w:color="auto"/>
            <w:bottom w:val="none" w:sz="0" w:space="0" w:color="auto"/>
            <w:right w:val="none" w:sz="0" w:space="0" w:color="auto"/>
          </w:divBdr>
        </w:div>
        <w:div w:id="297730675">
          <w:marLeft w:val="0"/>
          <w:marRight w:val="0"/>
          <w:marTop w:val="0"/>
          <w:marBottom w:val="0"/>
          <w:divBdr>
            <w:top w:val="none" w:sz="0" w:space="0" w:color="auto"/>
            <w:left w:val="none" w:sz="0" w:space="0" w:color="auto"/>
            <w:bottom w:val="none" w:sz="0" w:space="0" w:color="auto"/>
            <w:right w:val="none" w:sz="0" w:space="0" w:color="auto"/>
          </w:divBdr>
        </w:div>
      </w:divsChild>
    </w:div>
    <w:div w:id="212615524">
      <w:bodyDiv w:val="1"/>
      <w:marLeft w:val="0"/>
      <w:marRight w:val="0"/>
      <w:marTop w:val="0"/>
      <w:marBottom w:val="0"/>
      <w:divBdr>
        <w:top w:val="none" w:sz="0" w:space="0" w:color="auto"/>
        <w:left w:val="none" w:sz="0" w:space="0" w:color="auto"/>
        <w:bottom w:val="none" w:sz="0" w:space="0" w:color="auto"/>
        <w:right w:val="none" w:sz="0" w:space="0" w:color="auto"/>
      </w:divBdr>
      <w:divsChild>
        <w:div w:id="348144546">
          <w:marLeft w:val="0"/>
          <w:marRight w:val="0"/>
          <w:marTop w:val="0"/>
          <w:marBottom w:val="0"/>
          <w:divBdr>
            <w:top w:val="none" w:sz="0" w:space="0" w:color="auto"/>
            <w:left w:val="none" w:sz="0" w:space="0" w:color="auto"/>
            <w:bottom w:val="none" w:sz="0" w:space="0" w:color="auto"/>
            <w:right w:val="none" w:sz="0" w:space="0" w:color="auto"/>
          </w:divBdr>
        </w:div>
        <w:div w:id="1240213166">
          <w:marLeft w:val="0"/>
          <w:marRight w:val="0"/>
          <w:marTop w:val="0"/>
          <w:marBottom w:val="0"/>
          <w:divBdr>
            <w:top w:val="none" w:sz="0" w:space="0" w:color="auto"/>
            <w:left w:val="none" w:sz="0" w:space="0" w:color="auto"/>
            <w:bottom w:val="none" w:sz="0" w:space="0" w:color="auto"/>
            <w:right w:val="none" w:sz="0" w:space="0" w:color="auto"/>
          </w:divBdr>
        </w:div>
        <w:div w:id="1915050070">
          <w:marLeft w:val="0"/>
          <w:marRight w:val="0"/>
          <w:marTop w:val="0"/>
          <w:marBottom w:val="0"/>
          <w:divBdr>
            <w:top w:val="none" w:sz="0" w:space="0" w:color="auto"/>
            <w:left w:val="none" w:sz="0" w:space="0" w:color="auto"/>
            <w:bottom w:val="none" w:sz="0" w:space="0" w:color="auto"/>
            <w:right w:val="none" w:sz="0" w:space="0" w:color="auto"/>
          </w:divBdr>
        </w:div>
      </w:divsChild>
    </w:div>
    <w:div w:id="212141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18077-4ECB-4393-9A7B-73EA42D4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Klebe</dc:creator>
  <cp:keywords/>
  <dc:description/>
  <cp:lastModifiedBy>Michael Klebe</cp:lastModifiedBy>
  <cp:revision>12</cp:revision>
  <dcterms:created xsi:type="dcterms:W3CDTF">2020-11-03T19:38:00Z</dcterms:created>
  <dcterms:modified xsi:type="dcterms:W3CDTF">2020-11-03T20:29:00Z</dcterms:modified>
</cp:coreProperties>
</file>