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42B0" w14:textId="77777777" w:rsidR="00875AB8" w:rsidRPr="00306175" w:rsidRDefault="00875AB8" w:rsidP="00875AB8">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254E18BB" w14:textId="77777777" w:rsidR="00875AB8" w:rsidRPr="00306175" w:rsidRDefault="00875AB8" w:rsidP="00875AB8">
      <w:pPr>
        <w:jc w:val="center"/>
        <w:rPr>
          <w:rFonts w:ascii="Times New Roman" w:hAnsi="Times New Roman" w:cs="Times New Roman"/>
          <w:b/>
          <w:bCs/>
          <w:sz w:val="16"/>
          <w:szCs w:val="20"/>
        </w:rPr>
      </w:pPr>
    </w:p>
    <w:p w14:paraId="401779A7" w14:textId="77777777" w:rsidR="00875AB8" w:rsidRPr="00780150" w:rsidRDefault="00875AB8" w:rsidP="00875AB8">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5FA2CC97" w14:textId="77777777" w:rsidR="00875AB8" w:rsidRPr="00780150" w:rsidRDefault="00875AB8" w:rsidP="00875AB8">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038F9D4B" w14:textId="77777777" w:rsidR="00875AB8" w:rsidRPr="001D788D" w:rsidRDefault="00875AB8" w:rsidP="00875AB8">
      <w:pPr>
        <w:pStyle w:val="BodyText"/>
        <w:pBdr>
          <w:bottom w:val="single" w:sz="12" w:space="1" w:color="auto"/>
        </w:pBdr>
        <w:rPr>
          <w:i w:val="0"/>
          <w:iCs w:val="0"/>
          <w:sz w:val="16"/>
          <w:szCs w:val="16"/>
        </w:rPr>
      </w:pPr>
    </w:p>
    <w:p w14:paraId="3791F0F5" w14:textId="77777777" w:rsidR="00875AB8" w:rsidRPr="007624CD" w:rsidRDefault="00875AB8" w:rsidP="00875AB8">
      <w:pPr>
        <w:pStyle w:val="BodyText"/>
        <w:rPr>
          <w:i w:val="0"/>
          <w:iCs w:val="0"/>
          <w:sz w:val="32"/>
          <w:szCs w:val="32"/>
        </w:rPr>
      </w:pPr>
    </w:p>
    <w:p w14:paraId="74D5AF02" w14:textId="3D9231AA" w:rsidR="00875AB8" w:rsidRPr="00780150" w:rsidRDefault="00875AB8" w:rsidP="00875AB8">
      <w:pPr>
        <w:jc w:val="center"/>
        <w:rPr>
          <w:rFonts w:ascii="Times New Roman" w:hAnsi="Times New Roman" w:cs="Times New Roman"/>
          <w:b/>
          <w:bCs/>
          <w:sz w:val="32"/>
          <w:szCs w:val="32"/>
        </w:rPr>
      </w:pPr>
      <w:r w:rsidRPr="00780150">
        <w:rPr>
          <w:rFonts w:ascii="Times New Roman" w:hAnsi="Times New Roman" w:cs="Times New Roman"/>
          <w:b/>
          <w:bCs/>
          <w:sz w:val="32"/>
          <w:szCs w:val="32"/>
        </w:rPr>
        <w:t xml:space="preserve">Disposition Options and Costs for Certain </w:t>
      </w:r>
      <w:r>
        <w:rPr>
          <w:rFonts w:ascii="Times New Roman" w:hAnsi="Times New Roman" w:cs="Times New Roman"/>
          <w:b/>
          <w:bCs/>
          <w:sz w:val="32"/>
          <w:szCs w:val="32"/>
        </w:rPr>
        <w:t xml:space="preserve">Fixed </w:t>
      </w:r>
      <w:r w:rsidRPr="00780150">
        <w:rPr>
          <w:rFonts w:ascii="Times New Roman" w:hAnsi="Times New Roman" w:cs="Times New Roman"/>
          <w:b/>
          <w:bCs/>
          <w:sz w:val="32"/>
          <w:szCs w:val="32"/>
        </w:rPr>
        <w:t xml:space="preserve">Industrial </w:t>
      </w:r>
      <w:r>
        <w:rPr>
          <w:rFonts w:ascii="Times New Roman" w:hAnsi="Times New Roman" w:cs="Times New Roman"/>
          <w:b/>
          <w:bCs/>
          <w:sz w:val="32"/>
          <w:szCs w:val="32"/>
        </w:rPr>
        <w:t xml:space="preserve">Guage </w:t>
      </w:r>
      <w:r w:rsidRPr="00780150">
        <w:rPr>
          <w:rFonts w:ascii="Times New Roman" w:hAnsi="Times New Roman" w:cs="Times New Roman"/>
          <w:b/>
          <w:bCs/>
          <w:sz w:val="32"/>
          <w:szCs w:val="32"/>
        </w:rPr>
        <w:t>Radioactive Sealed Sources and Devices</w:t>
      </w:r>
    </w:p>
    <w:p w14:paraId="44A7CEEC" w14:textId="77777777" w:rsidR="00875AB8" w:rsidRPr="00780150" w:rsidRDefault="00875AB8" w:rsidP="00875AB8">
      <w:pPr>
        <w:jc w:val="center"/>
        <w:rPr>
          <w:rFonts w:ascii="Times New Roman" w:hAnsi="Times New Roman" w:cs="Times New Roman"/>
          <w:b/>
          <w:bCs/>
          <w:sz w:val="32"/>
          <w:szCs w:val="32"/>
        </w:rPr>
      </w:pPr>
    </w:p>
    <w:p w14:paraId="25399EA2" w14:textId="45D5F6F8" w:rsidR="00780150" w:rsidRDefault="00780150" w:rsidP="00780150">
      <w:pPr>
        <w:rPr>
          <w:rFonts w:ascii="Times New Roman" w:hAnsi="Times New Roman" w:cs="Times New Roman"/>
          <w:sz w:val="24"/>
        </w:rPr>
      </w:pPr>
    </w:p>
    <w:p w14:paraId="2E25FC6D" w14:textId="77777777" w:rsidR="00875AB8" w:rsidRDefault="00875AB8" w:rsidP="00875AB8">
      <w:pPr>
        <w:rPr>
          <w:rFonts w:ascii="Times New Roman" w:hAnsi="Times New Roman" w:cs="Times New Roman"/>
          <w:sz w:val="24"/>
        </w:rPr>
      </w:pPr>
      <w:r>
        <w:rPr>
          <w:rFonts w:ascii="Times New Roman" w:hAnsi="Times New Roman" w:cs="Times New Roman"/>
          <w:sz w:val="24"/>
        </w:rPr>
        <w:t>Fixed industrial gauges are used throughout industry to monitor and control process equipment.  Example uses include devices to measure thickness, density, specific gravity, flow rate or tank fill level.  The primary radionuclides used in fixed industrial gauges are Cs-137 and Am-241/Be.  The source activity ranges from a fraction of a curie to tens of curies.</w:t>
      </w:r>
    </w:p>
    <w:p w14:paraId="0251A3EA" w14:textId="77777777" w:rsidR="00875AB8" w:rsidRDefault="00875AB8" w:rsidP="00875AB8">
      <w:pPr>
        <w:rPr>
          <w:rFonts w:ascii="Times New Roman" w:hAnsi="Times New Roman" w:cs="Times New Roman"/>
          <w:sz w:val="24"/>
        </w:rPr>
      </w:pPr>
    </w:p>
    <w:p w14:paraId="1109F1F9" w14:textId="77777777" w:rsidR="00875AB8" w:rsidRDefault="00875AB8" w:rsidP="00875AB8">
      <w:pPr>
        <w:rPr>
          <w:rFonts w:ascii="Times New Roman" w:hAnsi="Times New Roman" w:cs="Times New Roman"/>
          <w:sz w:val="24"/>
        </w:rPr>
      </w:pPr>
      <w:r>
        <w:rPr>
          <w:rFonts w:ascii="Times New Roman" w:hAnsi="Times New Roman" w:cs="Times New Roman"/>
          <w:sz w:val="24"/>
        </w:rPr>
        <w:t>When the device is no longer needed, the source/device may be returned to the manufacturer, transferred to a source distributor/</w:t>
      </w:r>
      <w:proofErr w:type="gramStart"/>
      <w:r>
        <w:rPr>
          <w:rFonts w:ascii="Times New Roman" w:hAnsi="Times New Roman" w:cs="Times New Roman"/>
          <w:sz w:val="24"/>
        </w:rPr>
        <w:t>recycler</w:t>
      </w:r>
      <w:proofErr w:type="gramEnd"/>
      <w:r>
        <w:rPr>
          <w:rFonts w:ascii="Times New Roman" w:hAnsi="Times New Roman" w:cs="Times New Roman"/>
          <w:sz w:val="24"/>
        </w:rPr>
        <w:t xml:space="preserve"> or disposed as low-level radioactive waste.  The cost to recycle these sources range from approximately $1,500 to $5,000 not including removal, </w:t>
      </w:r>
      <w:proofErr w:type="gramStart"/>
      <w:r>
        <w:rPr>
          <w:rFonts w:ascii="Times New Roman" w:hAnsi="Times New Roman" w:cs="Times New Roman"/>
          <w:sz w:val="24"/>
        </w:rPr>
        <w:t>packaging</w:t>
      </w:r>
      <w:proofErr w:type="gramEnd"/>
      <w:r>
        <w:rPr>
          <w:rFonts w:ascii="Times New Roman" w:hAnsi="Times New Roman" w:cs="Times New Roman"/>
          <w:sz w:val="24"/>
        </w:rPr>
        <w:t xml:space="preserve"> and transportation.  Technician costs to package and transport can add approximately $6,000 to $8,000, depending on the number of sources and the transportation distance.  The cost to dispose of an industrial fixed gauge ranges from approximately $1,000 to $30,000.  The cost to remove a fixed industrial gauge is a function on how hard it is to remove the gauge from service.  For example, gauges that are mounted high on a vessel are more labor intensive than a gauge mounted at floor level, resulting in a higher cost.</w:t>
      </w:r>
    </w:p>
    <w:p w14:paraId="0AA3D0BB" w14:textId="77777777" w:rsidR="00C41DCF" w:rsidRDefault="00C41DCF" w:rsidP="00D85C91">
      <w:pPr>
        <w:rPr>
          <w:rFonts w:ascii="Times New Roman" w:hAnsi="Times New Roman" w:cs="Times New Roman"/>
          <w:sz w:val="24"/>
        </w:rPr>
      </w:pPr>
    </w:p>
    <w:p w14:paraId="2C7909B7"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t>Table 1 – Widely Used Radioactive Sealed Sources</w:t>
      </w:r>
      <w:r w:rsidRPr="005A174E">
        <w:rPr>
          <w:rFonts w:ascii="Times New Roman" w:eastAsia="Calibri" w:hAnsi="Times New Roman" w:cs="Times New Roman"/>
          <w:b/>
          <w:sz w:val="24"/>
          <w:vertAlign w:val="superscript"/>
        </w:rPr>
        <w:footnoteReference w:id="2"/>
      </w:r>
    </w:p>
    <w:p w14:paraId="3A766CAD" w14:textId="77777777" w:rsidR="005A174E" w:rsidRPr="005A174E" w:rsidRDefault="005A174E" w:rsidP="005A174E">
      <w:pPr>
        <w:keepNext/>
        <w:keepLines/>
        <w:rPr>
          <w:rFonts w:ascii="Times New Roman" w:eastAsia="Calibri" w:hAnsi="Times New Roman" w:cs="Times New Roman"/>
          <w:b/>
          <w:sz w:val="24"/>
        </w:rPr>
      </w:pPr>
    </w:p>
    <w:p w14:paraId="6C33EF5A"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7629775D" w14:textId="77777777" w:rsidTr="008C0D87">
        <w:tc>
          <w:tcPr>
            <w:tcW w:w="4405" w:type="dxa"/>
            <w:vAlign w:val="center"/>
          </w:tcPr>
          <w:p w14:paraId="1F724CFA"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7EFFE144"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3971F4BA"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63C64355"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481203D2"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27E16073" w14:textId="77777777" w:rsidTr="00153B21">
        <w:tc>
          <w:tcPr>
            <w:tcW w:w="4405" w:type="dxa"/>
            <w:vMerge w:val="restart"/>
            <w:tcBorders>
              <w:top w:val="single" w:sz="4" w:space="0" w:color="005288"/>
              <w:left w:val="single" w:sz="4" w:space="0" w:color="005288"/>
              <w:right w:val="single" w:sz="4" w:space="0" w:color="005288"/>
            </w:tcBorders>
          </w:tcPr>
          <w:p w14:paraId="4BF8E5A8" w14:textId="77777777" w:rsidR="005A174E" w:rsidRPr="005A174E" w:rsidRDefault="005A174E" w:rsidP="005A174E">
            <w:pPr>
              <w:tabs>
                <w:tab w:val="left" w:pos="805"/>
              </w:tabs>
              <w:kinsoku w:val="0"/>
              <w:overflowPunct w:val="0"/>
              <w:autoSpaceDE w:val="0"/>
              <w:autoSpaceDN w:val="0"/>
              <w:adjustRightInd w:val="0"/>
              <w:spacing w:before="45" w:line="200" w:lineRule="exact"/>
              <w:ind w:left="66"/>
              <w:rPr>
                <w:rFonts w:ascii="Times New Roman" w:eastAsia="Calibri" w:hAnsi="Times New Roman" w:cs="Times New Roman"/>
                <w:sz w:val="18"/>
                <w:szCs w:val="18"/>
              </w:rPr>
            </w:pPr>
            <w:r w:rsidRPr="005A174E">
              <w:rPr>
                <w:rFonts w:ascii="Times New Roman" w:eastAsia="Calibri" w:hAnsi="Times New Roman" w:cs="Times New Roman"/>
                <w:sz w:val="18"/>
                <w:szCs w:val="18"/>
              </w:rPr>
              <w:t>Fixed industrial gauges (level, dredger, conveyor, blast furnace, and spinning pipe) used for a wide variety of industrial and manufacturing purposes, primarily to monitor production processes.</w:t>
            </w:r>
          </w:p>
        </w:tc>
        <w:tc>
          <w:tcPr>
            <w:tcW w:w="1530" w:type="dxa"/>
            <w:tcBorders>
              <w:top w:val="single" w:sz="4" w:space="0" w:color="005288"/>
              <w:left w:val="single" w:sz="4" w:space="0" w:color="005288"/>
              <w:bottom w:val="single" w:sz="4" w:space="0" w:color="005288"/>
              <w:right w:val="single" w:sz="4" w:space="0" w:color="005288"/>
            </w:tcBorders>
            <w:vAlign w:val="center"/>
          </w:tcPr>
          <w:p w14:paraId="268F46A2"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tcBorders>
              <w:top w:val="single" w:sz="4" w:space="0" w:color="005288"/>
              <w:left w:val="single" w:sz="4" w:space="0" w:color="005288"/>
              <w:bottom w:val="single" w:sz="4" w:space="0" w:color="005288"/>
              <w:right w:val="single" w:sz="4" w:space="0" w:color="005288"/>
            </w:tcBorders>
            <w:vAlign w:val="center"/>
          </w:tcPr>
          <w:p w14:paraId="61957E34" w14:textId="77777777" w:rsidR="005A174E" w:rsidRPr="005A174E" w:rsidRDefault="005A174E" w:rsidP="008C0D87">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0.1-40</w:t>
            </w:r>
          </w:p>
        </w:tc>
        <w:tc>
          <w:tcPr>
            <w:tcW w:w="990" w:type="dxa"/>
            <w:tcBorders>
              <w:top w:val="single" w:sz="4" w:space="0" w:color="005288"/>
              <w:left w:val="single" w:sz="4" w:space="0" w:color="005288"/>
              <w:bottom w:val="single" w:sz="4" w:space="0" w:color="005288"/>
              <w:right w:val="single" w:sz="4" w:space="0" w:color="005288"/>
            </w:tcBorders>
            <w:vAlign w:val="center"/>
          </w:tcPr>
          <w:p w14:paraId="3F178A6D" w14:textId="77777777" w:rsidR="005A174E" w:rsidRPr="005A174E" w:rsidRDefault="005A174E" w:rsidP="008C0D87">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2,3,4</w:t>
            </w:r>
          </w:p>
        </w:tc>
        <w:tc>
          <w:tcPr>
            <w:tcW w:w="1170" w:type="dxa"/>
            <w:vMerge w:val="restart"/>
            <w:tcBorders>
              <w:top w:val="single" w:sz="4" w:space="0" w:color="005288"/>
              <w:left w:val="single" w:sz="4" w:space="0" w:color="005288"/>
              <w:right w:val="single" w:sz="4" w:space="0" w:color="auto"/>
            </w:tcBorders>
            <w:vAlign w:val="center"/>
          </w:tcPr>
          <w:p w14:paraId="052642E8" w14:textId="77777777" w:rsidR="005A174E" w:rsidRPr="005A174E" w:rsidRDefault="005A174E" w:rsidP="008C0D87">
            <w:pPr>
              <w:kinsoku w:val="0"/>
              <w:overflowPunct w:val="0"/>
              <w:autoSpaceDE w:val="0"/>
              <w:autoSpaceDN w:val="0"/>
              <w:adjustRightInd w:val="0"/>
              <w:spacing w:before="45" w:line="200" w:lineRule="exact"/>
              <w:ind w:left="67"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A, B, C, GTCC</w:t>
            </w:r>
          </w:p>
        </w:tc>
      </w:tr>
      <w:tr w:rsidR="005A174E" w:rsidRPr="005A174E" w14:paraId="5F556082" w14:textId="77777777" w:rsidTr="00153B21">
        <w:tc>
          <w:tcPr>
            <w:tcW w:w="4405" w:type="dxa"/>
            <w:vMerge/>
            <w:tcBorders>
              <w:left w:val="single" w:sz="4" w:space="0" w:color="005288"/>
              <w:right w:val="single" w:sz="4" w:space="0" w:color="005288"/>
            </w:tcBorders>
          </w:tcPr>
          <w:p w14:paraId="0C3DEF07"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3F078B74" w14:textId="77777777" w:rsidR="005A174E" w:rsidRPr="005A174E" w:rsidRDefault="005A174E" w:rsidP="005A174E">
            <w:pPr>
              <w:kinsoku w:val="0"/>
              <w:overflowPunct w:val="0"/>
              <w:autoSpaceDE w:val="0"/>
              <w:autoSpaceDN w:val="0"/>
              <w:adjustRightInd w:val="0"/>
              <w:spacing w:before="18"/>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1F7DA58D" w14:textId="77777777" w:rsidR="005A174E" w:rsidRPr="005A174E" w:rsidRDefault="005A174E" w:rsidP="008C0D87">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0.1-20</w:t>
            </w:r>
          </w:p>
        </w:tc>
        <w:tc>
          <w:tcPr>
            <w:tcW w:w="990" w:type="dxa"/>
            <w:tcBorders>
              <w:top w:val="single" w:sz="4" w:space="0" w:color="005288"/>
              <w:left w:val="single" w:sz="4" w:space="0" w:color="005288"/>
              <w:bottom w:val="single" w:sz="4" w:space="0" w:color="005288"/>
              <w:right w:val="single" w:sz="4" w:space="0" w:color="005288"/>
            </w:tcBorders>
            <w:vAlign w:val="center"/>
          </w:tcPr>
          <w:p w14:paraId="3244E5D8" w14:textId="77777777" w:rsidR="005A174E" w:rsidRPr="005A174E" w:rsidRDefault="005A174E" w:rsidP="008C0D87">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2,3,4</w:t>
            </w:r>
          </w:p>
        </w:tc>
        <w:tc>
          <w:tcPr>
            <w:tcW w:w="1170" w:type="dxa"/>
            <w:vMerge/>
            <w:tcBorders>
              <w:left w:val="single" w:sz="4" w:space="0" w:color="005288"/>
              <w:right w:val="single" w:sz="4" w:space="0" w:color="auto"/>
            </w:tcBorders>
            <w:vAlign w:val="center"/>
          </w:tcPr>
          <w:p w14:paraId="18325E39" w14:textId="77777777" w:rsidR="005A174E" w:rsidRPr="005A174E" w:rsidRDefault="005A174E" w:rsidP="008C0D87">
            <w:pPr>
              <w:ind w:right="69"/>
              <w:jc w:val="center"/>
              <w:rPr>
                <w:rFonts w:ascii="Times New Roman" w:eastAsia="Calibri" w:hAnsi="Times New Roman" w:cs="Times New Roman"/>
                <w:sz w:val="18"/>
                <w:szCs w:val="18"/>
              </w:rPr>
            </w:pPr>
          </w:p>
        </w:tc>
      </w:tr>
      <w:tr w:rsidR="005A174E" w:rsidRPr="005A174E" w14:paraId="4E023944" w14:textId="77777777" w:rsidTr="00153B21">
        <w:tc>
          <w:tcPr>
            <w:tcW w:w="4405" w:type="dxa"/>
            <w:vMerge/>
            <w:tcBorders>
              <w:left w:val="single" w:sz="4" w:space="0" w:color="005288"/>
              <w:right w:val="single" w:sz="4" w:space="0" w:color="005288"/>
            </w:tcBorders>
          </w:tcPr>
          <w:p w14:paraId="69645715"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496DA422"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Plutonium-238</w:t>
            </w:r>
          </w:p>
        </w:tc>
        <w:tc>
          <w:tcPr>
            <w:tcW w:w="1350" w:type="dxa"/>
            <w:tcBorders>
              <w:top w:val="single" w:sz="4" w:space="0" w:color="005288"/>
              <w:left w:val="single" w:sz="4" w:space="0" w:color="005288"/>
              <w:bottom w:val="single" w:sz="4" w:space="0" w:color="005288"/>
              <w:right w:val="single" w:sz="4" w:space="0" w:color="005288"/>
            </w:tcBorders>
            <w:vAlign w:val="center"/>
          </w:tcPr>
          <w:p w14:paraId="0E3E8E96" w14:textId="77777777" w:rsidR="005A174E" w:rsidRPr="005A174E" w:rsidRDefault="005A174E" w:rsidP="008C0D87">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20</w:t>
            </w:r>
          </w:p>
        </w:tc>
        <w:tc>
          <w:tcPr>
            <w:tcW w:w="990" w:type="dxa"/>
            <w:tcBorders>
              <w:top w:val="single" w:sz="4" w:space="0" w:color="005288"/>
              <w:left w:val="single" w:sz="4" w:space="0" w:color="005288"/>
              <w:bottom w:val="single" w:sz="4" w:space="0" w:color="005288"/>
              <w:right w:val="single" w:sz="4" w:space="0" w:color="005288"/>
            </w:tcBorders>
            <w:vAlign w:val="center"/>
          </w:tcPr>
          <w:p w14:paraId="10F0C8FE" w14:textId="77777777" w:rsidR="005A174E" w:rsidRPr="005A174E" w:rsidRDefault="005A174E" w:rsidP="008C0D87">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w:t>
            </w:r>
          </w:p>
        </w:tc>
        <w:tc>
          <w:tcPr>
            <w:tcW w:w="1170" w:type="dxa"/>
            <w:vMerge/>
            <w:tcBorders>
              <w:left w:val="single" w:sz="4" w:space="0" w:color="005288"/>
              <w:right w:val="single" w:sz="4" w:space="0" w:color="auto"/>
            </w:tcBorders>
            <w:vAlign w:val="center"/>
          </w:tcPr>
          <w:p w14:paraId="005B6A1B" w14:textId="77777777" w:rsidR="005A174E" w:rsidRPr="005A174E" w:rsidRDefault="005A174E" w:rsidP="008C0D87">
            <w:pPr>
              <w:ind w:right="69"/>
              <w:jc w:val="center"/>
              <w:rPr>
                <w:rFonts w:ascii="Times New Roman" w:eastAsia="Calibri" w:hAnsi="Times New Roman" w:cs="Times New Roman"/>
                <w:sz w:val="18"/>
                <w:szCs w:val="18"/>
              </w:rPr>
            </w:pPr>
          </w:p>
        </w:tc>
      </w:tr>
      <w:tr w:rsidR="005A174E" w:rsidRPr="005A174E" w14:paraId="3CF8EEB2" w14:textId="77777777" w:rsidTr="00153B21">
        <w:tc>
          <w:tcPr>
            <w:tcW w:w="4405" w:type="dxa"/>
            <w:vMerge/>
            <w:tcBorders>
              <w:left w:val="single" w:sz="4" w:space="0" w:color="005288"/>
              <w:right w:val="single" w:sz="4" w:space="0" w:color="005288"/>
            </w:tcBorders>
          </w:tcPr>
          <w:p w14:paraId="465BCD08"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4AD58046"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Californium-252</w:t>
            </w:r>
          </w:p>
        </w:tc>
        <w:tc>
          <w:tcPr>
            <w:tcW w:w="1350" w:type="dxa"/>
            <w:tcBorders>
              <w:top w:val="single" w:sz="4" w:space="0" w:color="005288"/>
              <w:left w:val="single" w:sz="4" w:space="0" w:color="005288"/>
              <w:bottom w:val="single" w:sz="4" w:space="0" w:color="005288"/>
              <w:right w:val="single" w:sz="4" w:space="0" w:color="005288"/>
            </w:tcBorders>
            <w:vAlign w:val="center"/>
          </w:tcPr>
          <w:p w14:paraId="7BA6EB7F" w14:textId="77777777" w:rsidR="005A174E" w:rsidRPr="005A174E" w:rsidRDefault="005A174E" w:rsidP="008C0D87">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0.034</w:t>
            </w:r>
          </w:p>
        </w:tc>
        <w:tc>
          <w:tcPr>
            <w:tcW w:w="990" w:type="dxa"/>
            <w:tcBorders>
              <w:top w:val="single" w:sz="4" w:space="0" w:color="005288"/>
              <w:left w:val="single" w:sz="4" w:space="0" w:color="005288"/>
              <w:bottom w:val="single" w:sz="4" w:space="0" w:color="005288"/>
              <w:right w:val="single" w:sz="4" w:space="0" w:color="005288"/>
            </w:tcBorders>
            <w:vAlign w:val="center"/>
          </w:tcPr>
          <w:p w14:paraId="4DA560D2" w14:textId="77777777" w:rsidR="005A174E" w:rsidRPr="005A174E" w:rsidRDefault="005A174E" w:rsidP="008C0D87">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w:t>
            </w:r>
          </w:p>
        </w:tc>
        <w:tc>
          <w:tcPr>
            <w:tcW w:w="1170" w:type="dxa"/>
            <w:vMerge/>
            <w:tcBorders>
              <w:left w:val="single" w:sz="4" w:space="0" w:color="005288"/>
              <w:right w:val="single" w:sz="4" w:space="0" w:color="auto"/>
            </w:tcBorders>
            <w:vAlign w:val="center"/>
          </w:tcPr>
          <w:p w14:paraId="5C803187" w14:textId="77777777" w:rsidR="005A174E" w:rsidRPr="005A174E" w:rsidRDefault="005A174E" w:rsidP="008C0D87">
            <w:pPr>
              <w:ind w:right="69"/>
              <w:jc w:val="center"/>
              <w:rPr>
                <w:rFonts w:ascii="Times New Roman" w:eastAsia="Calibri" w:hAnsi="Times New Roman" w:cs="Times New Roman"/>
                <w:sz w:val="18"/>
                <w:szCs w:val="18"/>
              </w:rPr>
            </w:pPr>
          </w:p>
        </w:tc>
      </w:tr>
      <w:tr w:rsidR="005A174E" w:rsidRPr="005A174E" w14:paraId="00F4D179" w14:textId="77777777" w:rsidTr="00153B21">
        <w:tc>
          <w:tcPr>
            <w:tcW w:w="4405" w:type="dxa"/>
            <w:vMerge/>
            <w:tcBorders>
              <w:left w:val="single" w:sz="4" w:space="0" w:color="005288"/>
              <w:right w:val="single" w:sz="4" w:space="0" w:color="005288"/>
            </w:tcBorders>
          </w:tcPr>
          <w:p w14:paraId="34E9F6A9"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0EA87CA0"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Krypton-85</w:t>
            </w:r>
          </w:p>
        </w:tc>
        <w:tc>
          <w:tcPr>
            <w:tcW w:w="1350" w:type="dxa"/>
            <w:tcBorders>
              <w:top w:val="single" w:sz="4" w:space="0" w:color="005288"/>
              <w:left w:val="single" w:sz="4" w:space="0" w:color="005288"/>
              <w:bottom w:val="single" w:sz="4" w:space="0" w:color="005288"/>
              <w:right w:val="single" w:sz="4" w:space="0" w:color="005288"/>
            </w:tcBorders>
            <w:vAlign w:val="center"/>
          </w:tcPr>
          <w:p w14:paraId="70C1C7AF" w14:textId="77777777" w:rsidR="005A174E" w:rsidRPr="005A174E" w:rsidRDefault="005A174E" w:rsidP="008C0D87">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0.05-1</w:t>
            </w:r>
          </w:p>
        </w:tc>
        <w:tc>
          <w:tcPr>
            <w:tcW w:w="990" w:type="dxa"/>
            <w:tcBorders>
              <w:top w:val="single" w:sz="4" w:space="0" w:color="005288"/>
              <w:left w:val="single" w:sz="4" w:space="0" w:color="005288"/>
              <w:bottom w:val="single" w:sz="4" w:space="0" w:color="005288"/>
              <w:right w:val="single" w:sz="4" w:space="0" w:color="005288"/>
            </w:tcBorders>
            <w:vAlign w:val="center"/>
          </w:tcPr>
          <w:p w14:paraId="5516824E" w14:textId="77777777" w:rsidR="005A174E" w:rsidRPr="005A174E" w:rsidRDefault="005A174E" w:rsidP="008C0D87">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w:t>
            </w:r>
          </w:p>
        </w:tc>
        <w:tc>
          <w:tcPr>
            <w:tcW w:w="1170" w:type="dxa"/>
            <w:vMerge/>
            <w:tcBorders>
              <w:left w:val="single" w:sz="4" w:space="0" w:color="005288"/>
              <w:right w:val="single" w:sz="4" w:space="0" w:color="auto"/>
            </w:tcBorders>
            <w:vAlign w:val="center"/>
          </w:tcPr>
          <w:p w14:paraId="5B91BC62" w14:textId="77777777" w:rsidR="005A174E" w:rsidRPr="005A174E" w:rsidRDefault="005A174E" w:rsidP="008C0D87">
            <w:pPr>
              <w:ind w:right="69"/>
              <w:jc w:val="center"/>
              <w:rPr>
                <w:rFonts w:ascii="Times New Roman" w:eastAsia="Calibri" w:hAnsi="Times New Roman" w:cs="Times New Roman"/>
                <w:sz w:val="18"/>
                <w:szCs w:val="18"/>
              </w:rPr>
            </w:pPr>
          </w:p>
        </w:tc>
      </w:tr>
      <w:tr w:rsidR="005A174E" w:rsidRPr="005A174E" w14:paraId="15B5CAB7" w14:textId="77777777" w:rsidTr="00153B21">
        <w:trPr>
          <w:trHeight w:val="881"/>
        </w:trPr>
        <w:tc>
          <w:tcPr>
            <w:tcW w:w="4405" w:type="dxa"/>
            <w:tcBorders>
              <w:top w:val="single" w:sz="4" w:space="0" w:color="005288"/>
              <w:left w:val="single" w:sz="4" w:space="0" w:color="005288"/>
              <w:bottom w:val="single" w:sz="4" w:space="0" w:color="005288"/>
              <w:right w:val="single" w:sz="4" w:space="0" w:color="005288"/>
            </w:tcBorders>
          </w:tcPr>
          <w:p w14:paraId="1B5D22FF" w14:textId="77777777" w:rsidR="005A174E" w:rsidRPr="005A174E" w:rsidRDefault="005A174E" w:rsidP="005A174E">
            <w:pPr>
              <w:tabs>
                <w:tab w:val="left" w:pos="805"/>
              </w:tabs>
              <w:kinsoku w:val="0"/>
              <w:overflowPunct w:val="0"/>
              <w:autoSpaceDE w:val="0"/>
              <w:autoSpaceDN w:val="0"/>
              <w:adjustRightInd w:val="0"/>
              <w:spacing w:before="45" w:line="200" w:lineRule="exact"/>
              <w:ind w:left="69" w:right="170"/>
              <w:rPr>
                <w:rFonts w:ascii="Times New Roman" w:eastAsia="Calibri" w:hAnsi="Times New Roman" w:cs="Times New Roman"/>
                <w:sz w:val="18"/>
                <w:szCs w:val="18"/>
              </w:rPr>
            </w:pPr>
            <w:r w:rsidRPr="005A174E">
              <w:rPr>
                <w:rFonts w:ascii="Times New Roman" w:eastAsia="Calibri" w:hAnsi="Times New Roman" w:cs="Times New Roman"/>
                <w:sz w:val="18"/>
                <w:szCs w:val="18"/>
              </w:rPr>
              <w:t xml:space="preserve">Static eliminators used in the production of paper, textiles, </w:t>
            </w:r>
            <w:proofErr w:type="gramStart"/>
            <w:r w:rsidRPr="005A174E">
              <w:rPr>
                <w:rFonts w:ascii="Times New Roman" w:eastAsia="Calibri" w:hAnsi="Times New Roman" w:cs="Times New Roman"/>
                <w:sz w:val="18"/>
                <w:szCs w:val="18"/>
              </w:rPr>
              <w:t>plastic</w:t>
            </w:r>
            <w:proofErr w:type="gramEnd"/>
            <w:r w:rsidRPr="005A174E">
              <w:rPr>
                <w:rFonts w:ascii="Times New Roman" w:eastAsia="Calibri" w:hAnsi="Times New Roman" w:cs="Times New Roman"/>
                <w:sz w:val="18"/>
                <w:szCs w:val="18"/>
              </w:rPr>
              <w:t xml:space="preserve"> and electrical circuits. They are particularly useful in hazardous areas where electrical devices cannot be used.</w:t>
            </w:r>
          </w:p>
        </w:tc>
        <w:tc>
          <w:tcPr>
            <w:tcW w:w="1530" w:type="dxa"/>
            <w:tcBorders>
              <w:top w:val="single" w:sz="4" w:space="0" w:color="005288"/>
              <w:left w:val="single" w:sz="4" w:space="0" w:color="005288"/>
              <w:bottom w:val="single" w:sz="4" w:space="0" w:color="005288"/>
              <w:right w:val="single" w:sz="4" w:space="0" w:color="005288"/>
            </w:tcBorders>
            <w:vAlign w:val="center"/>
          </w:tcPr>
          <w:p w14:paraId="5F144DED" w14:textId="77777777" w:rsidR="005A174E" w:rsidRPr="005A174E" w:rsidRDefault="005A174E" w:rsidP="005A174E">
            <w:pPr>
              <w:kinsoku w:val="0"/>
              <w:overflowPunct w:val="0"/>
              <w:autoSpaceDE w:val="0"/>
              <w:autoSpaceDN w:val="0"/>
              <w:adjustRightInd w:val="0"/>
              <w:spacing w:before="45" w:line="200" w:lineRule="exact"/>
              <w:ind w:left="69"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Americium-241/ Beryllium</w:t>
            </w:r>
          </w:p>
        </w:tc>
        <w:tc>
          <w:tcPr>
            <w:tcW w:w="1350" w:type="dxa"/>
            <w:tcBorders>
              <w:top w:val="single" w:sz="4" w:space="0" w:color="005288"/>
              <w:left w:val="single" w:sz="4" w:space="0" w:color="005288"/>
              <w:bottom w:val="single" w:sz="4" w:space="0" w:color="005288"/>
              <w:right w:val="single" w:sz="4" w:space="0" w:color="005288"/>
            </w:tcBorders>
            <w:vAlign w:val="center"/>
          </w:tcPr>
          <w:p w14:paraId="28FE6D44" w14:textId="77777777" w:rsidR="005A174E" w:rsidRPr="005A174E" w:rsidRDefault="005A174E" w:rsidP="008C0D87">
            <w:pPr>
              <w:kinsoku w:val="0"/>
              <w:overflowPunct w:val="0"/>
              <w:autoSpaceDE w:val="0"/>
              <w:autoSpaceDN w:val="0"/>
              <w:adjustRightInd w:val="0"/>
              <w:spacing w:before="18"/>
              <w:ind w:lef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0.03-0.11</w:t>
            </w:r>
          </w:p>
        </w:tc>
        <w:tc>
          <w:tcPr>
            <w:tcW w:w="990" w:type="dxa"/>
            <w:tcBorders>
              <w:top w:val="single" w:sz="4" w:space="0" w:color="005288"/>
              <w:left w:val="single" w:sz="4" w:space="0" w:color="005288"/>
              <w:bottom w:val="single" w:sz="4" w:space="0" w:color="005288"/>
              <w:right w:val="single" w:sz="4" w:space="0" w:color="005288"/>
            </w:tcBorders>
            <w:vAlign w:val="center"/>
          </w:tcPr>
          <w:p w14:paraId="43B2A052" w14:textId="77777777" w:rsidR="005A174E" w:rsidRPr="005A174E" w:rsidRDefault="005A174E" w:rsidP="008C0D87">
            <w:pPr>
              <w:kinsoku w:val="0"/>
              <w:overflowPunct w:val="0"/>
              <w:autoSpaceDE w:val="0"/>
              <w:autoSpaceDN w:val="0"/>
              <w:adjustRightInd w:val="0"/>
              <w:spacing w:before="18"/>
              <w:ind w:lef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w:t>
            </w:r>
          </w:p>
        </w:tc>
        <w:tc>
          <w:tcPr>
            <w:tcW w:w="1170" w:type="dxa"/>
            <w:tcBorders>
              <w:top w:val="single" w:sz="4" w:space="0" w:color="005288"/>
              <w:left w:val="single" w:sz="4" w:space="0" w:color="005288"/>
              <w:bottom w:val="single" w:sz="4" w:space="0" w:color="005288"/>
              <w:right w:val="single" w:sz="4" w:space="0" w:color="auto"/>
            </w:tcBorders>
            <w:vAlign w:val="center"/>
          </w:tcPr>
          <w:p w14:paraId="36BD42BB" w14:textId="77777777" w:rsidR="005A174E" w:rsidRPr="005A174E" w:rsidRDefault="005A174E" w:rsidP="008C0D87">
            <w:pPr>
              <w:kinsoku w:val="0"/>
              <w:overflowPunct w:val="0"/>
              <w:autoSpaceDE w:val="0"/>
              <w:autoSpaceDN w:val="0"/>
              <w:adjustRightInd w:val="0"/>
              <w:spacing w:before="45" w:line="200" w:lineRule="exact"/>
              <w:ind w:left="69"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A, B, C, GTCC</w:t>
            </w:r>
          </w:p>
        </w:tc>
      </w:tr>
      <w:tr w:rsidR="005A174E" w:rsidRPr="005A174E" w14:paraId="7C1CD462" w14:textId="77777777" w:rsidTr="00153B21">
        <w:trPr>
          <w:trHeight w:val="2879"/>
        </w:trPr>
        <w:tc>
          <w:tcPr>
            <w:tcW w:w="9445" w:type="dxa"/>
            <w:gridSpan w:val="5"/>
          </w:tcPr>
          <w:p w14:paraId="69C33F0C"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lastRenderedPageBreak/>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0256A659"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p w14:paraId="513868E4" w14:textId="77777777" w:rsidR="005A174E" w:rsidRPr="005A174E" w:rsidRDefault="005A174E" w:rsidP="005A174E">
            <w:pPr>
              <w:spacing w:before="60" w:after="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c.  There are no limits established for cobalt-60 in Class B or C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Practical considerations such as the effects of external radiation and internal heat generation on transportation, handling, and disposal will limit the concentrations for these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These wastes shall be Class B unless the concentrations of other nuclides in Table 2 in 10 CFR § 61.55 determine the waste to be Class C independently of these nuclides.</w:t>
            </w:r>
          </w:p>
        </w:tc>
      </w:tr>
    </w:tbl>
    <w:p w14:paraId="790CB779" w14:textId="77777777" w:rsidR="005A174E" w:rsidRPr="005A174E" w:rsidRDefault="005A174E" w:rsidP="005A174E">
      <w:pPr>
        <w:rPr>
          <w:rFonts w:ascii="Times New Roman" w:eastAsia="Calibri" w:hAnsi="Times New Roman" w:cs="Times New Roman"/>
          <w:sz w:val="24"/>
        </w:rPr>
      </w:pPr>
    </w:p>
    <w:p w14:paraId="77E7912B" w14:textId="77777777" w:rsidR="005A174E" w:rsidRPr="005A174E" w:rsidRDefault="005A174E" w:rsidP="005A174E">
      <w:pPr>
        <w:rPr>
          <w:rFonts w:ascii="Times New Roman" w:eastAsia="Calibri" w:hAnsi="Times New Roman" w:cs="Times New Roman"/>
          <w:sz w:val="24"/>
        </w:rPr>
      </w:pPr>
    </w:p>
    <w:p w14:paraId="00F082C9" w14:textId="77777777" w:rsidR="00C41DCF" w:rsidRDefault="00C41DCF" w:rsidP="00D85C91">
      <w:pPr>
        <w:rPr>
          <w:rFonts w:ascii="Times New Roman" w:hAnsi="Times New Roman" w:cs="Times New Roman"/>
          <w:sz w:val="24"/>
        </w:rPr>
      </w:pPr>
    </w:p>
    <w:p w14:paraId="38BEE62C" w14:textId="498B52B3" w:rsidR="00D85C91" w:rsidRDefault="00D85C91" w:rsidP="00D85C91">
      <w:pPr>
        <w:rPr>
          <w:rFonts w:ascii="Times New Roman" w:hAnsi="Times New Roman" w:cs="Times New Roman"/>
          <w:sz w:val="24"/>
        </w:rPr>
      </w:pPr>
      <w:r>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0E90F304" w14:textId="77777777" w:rsidR="00D85C91" w:rsidRDefault="00D85C91" w:rsidP="00D85C91">
      <w:pPr>
        <w:rPr>
          <w:rFonts w:ascii="Times New Roman" w:hAnsi="Times New Roman" w:cs="Times New Roman"/>
          <w:sz w:val="24"/>
        </w:rPr>
      </w:pPr>
    </w:p>
    <w:p w14:paraId="69C794E7"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radioactive sealed sources have decayed to a point where the source or device no longer functions as designed, the source can either be replaced or the entire source or device can be properly dispositioned (i.e. </w:t>
      </w:r>
      <w:r>
        <w:rPr>
          <w:rFonts w:ascii="Times New Roman" w:eastAsia="Calibri" w:hAnsi="Times New Roman" w:cs="Times New Roman"/>
          <w:sz w:val="24"/>
        </w:rPr>
        <w:t xml:space="preserve">by </w:t>
      </w:r>
      <w:r w:rsidRPr="00023B4D">
        <w:rPr>
          <w:rFonts w:ascii="Times New Roman" w:eastAsia="Calibri" w:hAnsi="Times New Roman" w:cs="Times New Roman"/>
          <w:sz w:val="24"/>
        </w:rPr>
        <w:t xml:space="preserve">return of the item to the manufacturer, transfer to a third party for reuse or recycle, or by disposal as low-level radioactive waste). </w:t>
      </w:r>
      <w:r>
        <w:rPr>
          <w:rFonts w:ascii="Times New Roman" w:eastAsia="Calibri" w:hAnsi="Times New Roman" w:cs="Times New Roman"/>
          <w:sz w:val="24"/>
        </w:rPr>
        <w:t xml:space="preserve"> D</w:t>
      </w:r>
      <w:r w:rsidRPr="00023B4D">
        <w:rPr>
          <w:rFonts w:ascii="Times New Roman" w:eastAsia="Calibri" w:hAnsi="Times New Roman" w:cs="Times New Roman"/>
          <w:sz w:val="24"/>
        </w:rPr>
        <w:t>epending on the radionuclide and its activity</w:t>
      </w:r>
      <w:r>
        <w:rPr>
          <w:rFonts w:ascii="Times New Roman" w:eastAsia="Calibri" w:hAnsi="Times New Roman" w:cs="Times New Roman"/>
          <w:sz w:val="24"/>
        </w:rPr>
        <w:t>, not all options may be available.</w:t>
      </w:r>
    </w:p>
    <w:p w14:paraId="28A84174" w14:textId="77777777" w:rsidR="00D85C91" w:rsidRPr="00023B4D" w:rsidRDefault="00D85C91" w:rsidP="00D85C91">
      <w:pPr>
        <w:rPr>
          <w:rFonts w:ascii="Times New Roman" w:eastAsia="Calibri" w:hAnsi="Times New Roman" w:cs="Times New Roman"/>
          <w:sz w:val="24"/>
        </w:rPr>
      </w:pPr>
    </w:p>
    <w:p w14:paraId="59E3C952"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evaluating alternatives, </w:t>
      </w:r>
      <w:r>
        <w:rPr>
          <w:rFonts w:ascii="Times New Roman" w:eastAsia="Calibri" w:hAnsi="Times New Roman" w:cs="Times New Roman"/>
          <w:sz w:val="24"/>
        </w:rPr>
        <w:t>the</w:t>
      </w:r>
      <w:r w:rsidRPr="00023B4D">
        <w:rPr>
          <w:rFonts w:ascii="Times New Roman" w:eastAsia="Calibri" w:hAnsi="Times New Roman" w:cs="Times New Roman"/>
          <w:sz w:val="24"/>
        </w:rPr>
        <w:t xml:space="preserv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w:t>
      </w:r>
      <w:r>
        <w:rPr>
          <w:rFonts w:ascii="Times New Roman" w:eastAsia="Calibri" w:hAnsi="Times New Roman" w:cs="Times New Roman"/>
          <w:sz w:val="24"/>
        </w:rPr>
        <w:t>may</w:t>
      </w:r>
      <w:r w:rsidRPr="00023B4D">
        <w:rPr>
          <w:rFonts w:ascii="Times New Roman" w:eastAsia="Calibri" w:hAnsi="Times New Roman" w:cs="Times New Roman"/>
          <w:sz w:val="24"/>
        </w:rPr>
        <w:t xml:space="preserve"> </w:t>
      </w:r>
      <w:r>
        <w:rPr>
          <w:rFonts w:ascii="Times New Roman" w:eastAsia="Calibri" w:hAnsi="Times New Roman" w:cs="Times New Roman"/>
          <w:sz w:val="24"/>
        </w:rPr>
        <w:t xml:space="preserve">help </w:t>
      </w:r>
      <w:r w:rsidRPr="00023B4D">
        <w:rPr>
          <w:rFonts w:ascii="Times New Roman" w:eastAsia="Calibri" w:hAnsi="Times New Roman" w:cs="Times New Roman"/>
          <w:sz w:val="24"/>
        </w:rPr>
        <w:t>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12AF21E3" w14:textId="77777777" w:rsidR="00D85C91" w:rsidRPr="00023B4D" w:rsidRDefault="00D85C91" w:rsidP="00D85C91">
      <w:pPr>
        <w:rPr>
          <w:rFonts w:ascii="Times New Roman" w:eastAsia="Calibri" w:hAnsi="Times New Roman" w:cs="Times New Roman"/>
          <w:sz w:val="24"/>
        </w:rPr>
      </w:pPr>
    </w:p>
    <w:p w14:paraId="3C706EAC" w14:textId="40528983" w:rsidR="00875AB8" w:rsidRDefault="00875AB8" w:rsidP="00780150">
      <w:pPr>
        <w:rPr>
          <w:rFonts w:ascii="Times New Roman" w:hAnsi="Times New Roman" w:cs="Times New Roman"/>
          <w:sz w:val="24"/>
        </w:rPr>
      </w:pPr>
    </w:p>
    <w:sectPr w:rsidR="00875AB8" w:rsidSect="0057510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6F50" w14:textId="77777777" w:rsidR="005F007E" w:rsidRDefault="005F007E" w:rsidP="00780150">
      <w:r>
        <w:separator/>
      </w:r>
    </w:p>
  </w:endnote>
  <w:endnote w:type="continuationSeparator" w:id="0">
    <w:p w14:paraId="51788036" w14:textId="77777777" w:rsidR="005F007E" w:rsidRDefault="005F007E" w:rsidP="00780150">
      <w:r>
        <w:continuationSeparator/>
      </w:r>
    </w:p>
  </w:endnote>
  <w:endnote w:type="continuationNotice" w:id="1">
    <w:p w14:paraId="7E654719" w14:textId="77777777" w:rsidR="005F007E" w:rsidRDefault="005F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797114"/>
      <w:docPartObj>
        <w:docPartGallery w:val="Page Numbers (Bottom of Page)"/>
        <w:docPartUnique/>
      </w:docPartObj>
    </w:sdtPr>
    <w:sdtEndPr>
      <w:rPr>
        <w:noProof/>
      </w:rPr>
    </w:sdtEndPr>
    <w:sdtContent>
      <w:p w14:paraId="3A9BF3C0" w14:textId="16DDECC2" w:rsidR="00575106" w:rsidRDefault="00575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78A01" w14:textId="77777777" w:rsidR="005F007E" w:rsidRDefault="005F007E" w:rsidP="00780150">
      <w:r>
        <w:separator/>
      </w:r>
    </w:p>
  </w:footnote>
  <w:footnote w:type="continuationSeparator" w:id="0">
    <w:p w14:paraId="5256BD9C" w14:textId="77777777" w:rsidR="005F007E" w:rsidRDefault="005F007E" w:rsidP="00780150">
      <w:r>
        <w:continuationSeparator/>
      </w:r>
    </w:p>
  </w:footnote>
  <w:footnote w:type="continuationNotice" w:id="1">
    <w:p w14:paraId="0BFBB995" w14:textId="77777777" w:rsidR="005F007E" w:rsidRDefault="005F007E"/>
  </w:footnote>
  <w:footnote w:id="2">
    <w:p w14:paraId="09B91456"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w:t>
      </w:r>
      <w:proofErr w:type="spellStart"/>
      <w:r w:rsidRPr="004B484C">
        <w:rPr>
          <w:rFonts w:ascii="Times New Roman" w:hAnsi="Times New Roman" w:cs="Times New Roman"/>
          <w:sz w:val="20"/>
          <w:szCs w:val="20"/>
        </w:rPr>
        <w:t>Subcouncil</w:t>
      </w:r>
      <w:proofErr w:type="spellEnd"/>
      <w:r w:rsidRPr="004B484C">
        <w:rPr>
          <w:rFonts w:ascii="Times New Roman" w:hAnsi="Times New Roman" w:cs="Times New Roman"/>
          <w:sz w:val="20"/>
          <w:szCs w:val="20"/>
        </w:rPr>
        <w:t xml:space="preserve">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1C4DE882" w14:textId="77777777" w:rsidR="005A174E" w:rsidRDefault="005A174E" w:rsidP="005A174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54FB8"/>
    <w:rsid w:val="0006357D"/>
    <w:rsid w:val="00095D59"/>
    <w:rsid w:val="000B4360"/>
    <w:rsid w:val="00133F0D"/>
    <w:rsid w:val="001E787C"/>
    <w:rsid w:val="00254A74"/>
    <w:rsid w:val="00285FC3"/>
    <w:rsid w:val="003C1066"/>
    <w:rsid w:val="00460890"/>
    <w:rsid w:val="004C2FC7"/>
    <w:rsid w:val="004E34E3"/>
    <w:rsid w:val="00575106"/>
    <w:rsid w:val="005A174E"/>
    <w:rsid w:val="005D4CA9"/>
    <w:rsid w:val="005F007E"/>
    <w:rsid w:val="00611CA1"/>
    <w:rsid w:val="00687EC5"/>
    <w:rsid w:val="007624CD"/>
    <w:rsid w:val="00780150"/>
    <w:rsid w:val="007819C6"/>
    <w:rsid w:val="0080354D"/>
    <w:rsid w:val="008645D2"/>
    <w:rsid w:val="00875AB8"/>
    <w:rsid w:val="008C0D87"/>
    <w:rsid w:val="008D6119"/>
    <w:rsid w:val="009746FC"/>
    <w:rsid w:val="00985AD6"/>
    <w:rsid w:val="009870EB"/>
    <w:rsid w:val="00A10AED"/>
    <w:rsid w:val="00A81BD0"/>
    <w:rsid w:val="00AB4C60"/>
    <w:rsid w:val="00C053BA"/>
    <w:rsid w:val="00C41DCF"/>
    <w:rsid w:val="00D1516D"/>
    <w:rsid w:val="00D85C91"/>
    <w:rsid w:val="00DA4530"/>
    <w:rsid w:val="00DB3757"/>
    <w:rsid w:val="00E36648"/>
    <w:rsid w:val="00EF5140"/>
    <w:rsid w:val="00F05D12"/>
    <w:rsid w:val="00F1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6</cp:revision>
  <dcterms:created xsi:type="dcterms:W3CDTF">2020-11-03T19:36:00Z</dcterms:created>
  <dcterms:modified xsi:type="dcterms:W3CDTF">2020-11-03T20:22:00Z</dcterms:modified>
</cp:coreProperties>
</file>