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C162" w14:textId="77777777" w:rsidR="009870EB" w:rsidRPr="00306175" w:rsidRDefault="009870EB" w:rsidP="009870EB">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1267B2A8" w14:textId="77777777" w:rsidR="009870EB" w:rsidRPr="00306175" w:rsidRDefault="009870EB" w:rsidP="009870EB">
      <w:pPr>
        <w:jc w:val="center"/>
        <w:rPr>
          <w:rFonts w:ascii="Times New Roman" w:hAnsi="Times New Roman" w:cs="Times New Roman"/>
          <w:b/>
          <w:bCs/>
          <w:sz w:val="16"/>
          <w:szCs w:val="20"/>
        </w:rPr>
      </w:pPr>
    </w:p>
    <w:p w14:paraId="2F3D99A5"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693C14C6"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40F5D4DC" w14:textId="77777777" w:rsidR="009870EB" w:rsidRPr="001D788D" w:rsidRDefault="009870EB" w:rsidP="009870EB">
      <w:pPr>
        <w:pStyle w:val="BodyText"/>
        <w:pBdr>
          <w:bottom w:val="single" w:sz="12" w:space="1" w:color="auto"/>
        </w:pBdr>
        <w:rPr>
          <w:i w:val="0"/>
          <w:iCs w:val="0"/>
          <w:sz w:val="16"/>
          <w:szCs w:val="16"/>
        </w:rPr>
      </w:pPr>
    </w:p>
    <w:p w14:paraId="31F3C919" w14:textId="77777777" w:rsidR="009870EB" w:rsidRPr="007624CD" w:rsidRDefault="009870EB" w:rsidP="009870EB">
      <w:pPr>
        <w:pStyle w:val="BodyText"/>
        <w:rPr>
          <w:i w:val="0"/>
          <w:iCs w:val="0"/>
          <w:sz w:val="32"/>
          <w:szCs w:val="32"/>
        </w:rPr>
      </w:pPr>
    </w:p>
    <w:p w14:paraId="38E97313" w14:textId="0AFDDAA8" w:rsidR="009870EB"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w:t>
      </w:r>
      <w:r>
        <w:rPr>
          <w:rFonts w:ascii="Times New Roman" w:hAnsi="Times New Roman" w:cs="Times New Roman"/>
          <w:b/>
          <w:bCs/>
          <w:sz w:val="32"/>
          <w:szCs w:val="32"/>
        </w:rPr>
        <w:t>Certain Brachytherapy</w:t>
      </w:r>
    </w:p>
    <w:p w14:paraId="12197276" w14:textId="68665576" w:rsidR="009870EB" w:rsidRPr="00780150"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Radioactive Sealed Sources</w:t>
      </w:r>
    </w:p>
    <w:p w14:paraId="7548CE23" w14:textId="77777777" w:rsidR="009870EB" w:rsidRPr="00780150" w:rsidRDefault="009870EB" w:rsidP="009870EB">
      <w:pPr>
        <w:jc w:val="center"/>
        <w:rPr>
          <w:rFonts w:ascii="Times New Roman" w:hAnsi="Times New Roman" w:cs="Times New Roman"/>
          <w:b/>
          <w:bCs/>
          <w:sz w:val="32"/>
          <w:szCs w:val="32"/>
        </w:rPr>
      </w:pPr>
    </w:p>
    <w:p w14:paraId="735442B6" w14:textId="029035D5" w:rsidR="00875AB8" w:rsidRDefault="00875AB8" w:rsidP="00780150">
      <w:pPr>
        <w:rPr>
          <w:rFonts w:ascii="Times New Roman" w:hAnsi="Times New Roman" w:cs="Times New Roman"/>
          <w:sz w:val="24"/>
        </w:rPr>
      </w:pPr>
    </w:p>
    <w:p w14:paraId="2744DEA3" w14:textId="77777777" w:rsidR="009870EB" w:rsidRDefault="009870EB" w:rsidP="009870EB">
      <w:pPr>
        <w:rPr>
          <w:rFonts w:ascii="Times New Roman" w:hAnsi="Times New Roman" w:cs="Times New Roman"/>
          <w:sz w:val="24"/>
        </w:rPr>
      </w:pPr>
      <w:r>
        <w:rPr>
          <w:rFonts w:ascii="Times New Roman" w:hAnsi="Times New Roman" w:cs="Times New Roman"/>
          <w:sz w:val="24"/>
        </w:rPr>
        <w:t>Brachytherapy or internal radiation therapy involves placing small radioactive sealed sources in or near the tissue to be treated or injecting radioactive material in the bloodstream or body cavity.  The type of radioactive material and delivery method is determined based on the tissue being treated and the required dose to be administered.  Placement of the sources can be temporary or permanent.  In temporary brachytherapy, the source is placed inside a catheter or tube that has been inserted in or near the tissue to be treated for a short period of time and then withdrawn.  Permanent brachytherapy involves placing the source in or near the tissue to be treated and leaving it there permanently.</w:t>
      </w:r>
    </w:p>
    <w:p w14:paraId="181DD262" w14:textId="77777777" w:rsidR="009870EB" w:rsidRDefault="009870EB" w:rsidP="009870EB">
      <w:pPr>
        <w:rPr>
          <w:rFonts w:ascii="Times New Roman" w:hAnsi="Times New Roman" w:cs="Times New Roman"/>
          <w:sz w:val="24"/>
        </w:rPr>
      </w:pPr>
    </w:p>
    <w:p w14:paraId="4B1CB1CC" w14:textId="77777777" w:rsidR="009870EB" w:rsidRDefault="009870EB" w:rsidP="009870EB">
      <w:pPr>
        <w:rPr>
          <w:rFonts w:ascii="Times New Roman" w:hAnsi="Times New Roman" w:cs="Times New Roman"/>
          <w:sz w:val="24"/>
        </w:rPr>
      </w:pPr>
      <w:r>
        <w:rPr>
          <w:rFonts w:ascii="Times New Roman" w:hAnsi="Times New Roman" w:cs="Times New Roman"/>
          <w:sz w:val="24"/>
        </w:rPr>
        <w:t>Table 1 identifies the radionuclides associated with brachytherapy.  Some of the radionuclides have short half-lives and can be decayed in storage until they are no longer radioactive.  Disposal and recycling of the longer-lived radionuclides range from approximately $5 per Ir-192 seed to $1,500 to $4,500 for the Cs-137 and Co-60 sources.  A Sr-90 beta eye applicator disposal cost range is approximately $2,000 to $3,000.</w:t>
      </w:r>
    </w:p>
    <w:p w14:paraId="26DDC1CB" w14:textId="251CD9AE" w:rsidR="009870EB" w:rsidRDefault="009870EB" w:rsidP="009870EB">
      <w:pPr>
        <w:rPr>
          <w:rFonts w:ascii="Times New Roman" w:hAnsi="Times New Roman" w:cs="Times New Roman"/>
          <w:sz w:val="20"/>
          <w:szCs w:val="20"/>
        </w:rPr>
      </w:pPr>
    </w:p>
    <w:p w14:paraId="0A561800"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23E35D3E" w14:textId="77777777" w:rsidR="005A174E" w:rsidRPr="005A174E" w:rsidRDefault="005A174E" w:rsidP="005A174E">
      <w:pPr>
        <w:keepNext/>
        <w:keepLines/>
        <w:rPr>
          <w:rFonts w:ascii="Times New Roman" w:eastAsia="Calibri" w:hAnsi="Times New Roman" w:cs="Times New Roman"/>
          <w:b/>
          <w:sz w:val="24"/>
        </w:rPr>
      </w:pPr>
    </w:p>
    <w:p w14:paraId="647CD190"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0B204D07" w14:textId="77777777" w:rsidTr="00153B21">
        <w:trPr>
          <w:tblHeader/>
        </w:trPr>
        <w:tc>
          <w:tcPr>
            <w:tcW w:w="4405" w:type="dxa"/>
            <w:vAlign w:val="center"/>
          </w:tcPr>
          <w:p w14:paraId="23806A70"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10801E76"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1E1D4B31"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64DA64B9"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295709D1"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5015D5C7" w14:textId="77777777" w:rsidTr="00153B21">
        <w:tc>
          <w:tcPr>
            <w:tcW w:w="4405" w:type="dxa"/>
            <w:vMerge w:val="restart"/>
            <w:tcBorders>
              <w:top w:val="single" w:sz="4" w:space="0" w:color="005288"/>
              <w:left w:val="single" w:sz="4" w:space="0" w:color="005288"/>
              <w:right w:val="single" w:sz="4" w:space="0" w:color="005288"/>
            </w:tcBorders>
          </w:tcPr>
          <w:p w14:paraId="318B73ED" w14:textId="77777777" w:rsidR="005A174E" w:rsidRPr="005A174E" w:rsidRDefault="005A174E" w:rsidP="005A174E">
            <w:pPr>
              <w:tabs>
                <w:tab w:val="left" w:pos="805"/>
              </w:tabs>
              <w:kinsoku w:val="0"/>
              <w:overflowPunct w:val="0"/>
              <w:autoSpaceDE w:val="0"/>
              <w:autoSpaceDN w:val="0"/>
              <w:adjustRightInd w:val="0"/>
              <w:spacing w:before="45" w:line="200" w:lineRule="exact"/>
              <w:ind w:left="67" w:right="170"/>
              <w:rPr>
                <w:rFonts w:ascii="Times New Roman" w:eastAsia="Calibri" w:hAnsi="Times New Roman" w:cs="Times New Roman"/>
                <w:sz w:val="18"/>
                <w:szCs w:val="18"/>
              </w:rPr>
            </w:pPr>
            <w:r w:rsidRPr="005A174E">
              <w:rPr>
                <w:rFonts w:ascii="Times New Roman" w:eastAsia="Calibri" w:hAnsi="Times New Roman" w:cs="Times New Roman"/>
                <w:sz w:val="18"/>
                <w:szCs w:val="18"/>
              </w:rPr>
              <w:t xml:space="preserve">Brachytherapy (high, </w:t>
            </w:r>
            <w:proofErr w:type="gramStart"/>
            <w:r w:rsidRPr="005A174E">
              <w:rPr>
                <w:rFonts w:ascii="Times New Roman" w:eastAsia="Calibri" w:hAnsi="Times New Roman" w:cs="Times New Roman"/>
                <w:sz w:val="18"/>
                <w:szCs w:val="18"/>
              </w:rPr>
              <w:t>medium</w:t>
            </w:r>
            <w:proofErr w:type="gramEnd"/>
            <w:r w:rsidRPr="005A174E">
              <w:rPr>
                <w:rFonts w:ascii="Times New Roman" w:eastAsia="Calibri" w:hAnsi="Times New Roman" w:cs="Times New Roman"/>
                <w:sz w:val="18"/>
                <w:szCs w:val="18"/>
              </w:rPr>
              <w:t xml:space="preserve"> and low dose rate), which uses either beta or gamma sources to irradiate tumors over a very small area and thickness of tissues.</w:t>
            </w:r>
          </w:p>
        </w:tc>
        <w:tc>
          <w:tcPr>
            <w:tcW w:w="1530" w:type="dxa"/>
            <w:tcBorders>
              <w:top w:val="single" w:sz="4" w:space="0" w:color="005288"/>
              <w:left w:val="single" w:sz="4" w:space="0" w:color="005288"/>
              <w:bottom w:val="single" w:sz="4" w:space="0" w:color="005288"/>
              <w:right w:val="single" w:sz="4" w:space="0" w:color="005288"/>
            </w:tcBorders>
            <w:vAlign w:val="center"/>
          </w:tcPr>
          <w:p w14:paraId="4DEB2323"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50AFDFF6" w14:textId="77777777" w:rsidR="005A174E" w:rsidRPr="005A174E" w:rsidRDefault="005A174E" w:rsidP="00993238">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1-20</w:t>
            </w:r>
          </w:p>
        </w:tc>
        <w:tc>
          <w:tcPr>
            <w:tcW w:w="990" w:type="dxa"/>
            <w:tcBorders>
              <w:top w:val="single" w:sz="4" w:space="0" w:color="005288"/>
              <w:left w:val="single" w:sz="4" w:space="0" w:color="005288"/>
              <w:bottom w:val="single" w:sz="4" w:space="0" w:color="005288"/>
              <w:right w:val="single" w:sz="4" w:space="0" w:color="005288"/>
            </w:tcBorders>
            <w:vAlign w:val="center"/>
          </w:tcPr>
          <w:p w14:paraId="062FCFF0" w14:textId="77777777" w:rsidR="005A174E" w:rsidRPr="005A174E" w:rsidRDefault="005A174E" w:rsidP="00993238">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w:t>
            </w:r>
          </w:p>
        </w:tc>
        <w:tc>
          <w:tcPr>
            <w:tcW w:w="1170" w:type="dxa"/>
            <w:vMerge w:val="restart"/>
            <w:tcBorders>
              <w:top w:val="single" w:sz="4" w:space="0" w:color="005288"/>
              <w:left w:val="single" w:sz="4" w:space="0" w:color="005288"/>
              <w:right w:val="single" w:sz="4" w:space="0" w:color="auto"/>
            </w:tcBorders>
            <w:vAlign w:val="center"/>
          </w:tcPr>
          <w:p w14:paraId="7348EF6B" w14:textId="77777777" w:rsidR="005A174E" w:rsidRPr="005A174E" w:rsidRDefault="005A174E" w:rsidP="00993238">
            <w:pPr>
              <w:kinsoku w:val="0"/>
              <w:overflowPunct w:val="0"/>
              <w:autoSpaceDE w:val="0"/>
              <w:autoSpaceDN w:val="0"/>
              <w:adjustRightInd w:val="0"/>
              <w:spacing w:before="45" w:line="200" w:lineRule="exact"/>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26D3CC84" w14:textId="77777777" w:rsidTr="00153B21">
        <w:tc>
          <w:tcPr>
            <w:tcW w:w="4405" w:type="dxa"/>
            <w:vMerge/>
            <w:tcBorders>
              <w:left w:val="single" w:sz="4" w:space="0" w:color="005288"/>
              <w:right w:val="single" w:sz="4" w:space="0" w:color="005288"/>
            </w:tcBorders>
          </w:tcPr>
          <w:p w14:paraId="70B72183"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3C8D7FD9"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tcBorders>
              <w:top w:val="single" w:sz="4" w:space="0" w:color="005288"/>
              <w:left w:val="single" w:sz="4" w:space="0" w:color="005288"/>
              <w:bottom w:val="single" w:sz="4" w:space="0" w:color="005288"/>
              <w:right w:val="single" w:sz="4" w:space="0" w:color="005288"/>
            </w:tcBorders>
            <w:vAlign w:val="center"/>
          </w:tcPr>
          <w:p w14:paraId="1B6E78FB" w14:textId="77777777" w:rsidR="005A174E" w:rsidRPr="005A174E" w:rsidRDefault="005A174E" w:rsidP="00993238">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0.1-8</w:t>
            </w:r>
          </w:p>
        </w:tc>
        <w:tc>
          <w:tcPr>
            <w:tcW w:w="990" w:type="dxa"/>
            <w:tcBorders>
              <w:top w:val="single" w:sz="4" w:space="0" w:color="005288"/>
              <w:left w:val="single" w:sz="4" w:space="0" w:color="005288"/>
              <w:bottom w:val="single" w:sz="4" w:space="0" w:color="005288"/>
              <w:right w:val="single" w:sz="4" w:space="0" w:color="005288"/>
            </w:tcBorders>
            <w:vAlign w:val="center"/>
          </w:tcPr>
          <w:p w14:paraId="78240428" w14:textId="77777777" w:rsidR="005A174E" w:rsidRPr="005A174E" w:rsidRDefault="005A174E" w:rsidP="00993238">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3,4,5</w:t>
            </w:r>
          </w:p>
        </w:tc>
        <w:tc>
          <w:tcPr>
            <w:tcW w:w="1170" w:type="dxa"/>
            <w:vMerge/>
            <w:tcBorders>
              <w:left w:val="single" w:sz="4" w:space="0" w:color="005288"/>
              <w:right w:val="single" w:sz="4" w:space="0" w:color="auto"/>
            </w:tcBorders>
            <w:vAlign w:val="center"/>
          </w:tcPr>
          <w:p w14:paraId="18C05D9B"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0AF1DEAC" w14:textId="77777777" w:rsidTr="00153B21">
        <w:tc>
          <w:tcPr>
            <w:tcW w:w="4405" w:type="dxa"/>
            <w:vMerge/>
            <w:tcBorders>
              <w:left w:val="single" w:sz="4" w:space="0" w:color="005288"/>
              <w:right w:val="single" w:sz="4" w:space="0" w:color="005288"/>
            </w:tcBorders>
          </w:tcPr>
          <w:p w14:paraId="2659A930"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58BC69FB"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Iridium-192</w:t>
            </w:r>
          </w:p>
        </w:tc>
        <w:tc>
          <w:tcPr>
            <w:tcW w:w="1350" w:type="dxa"/>
            <w:tcBorders>
              <w:top w:val="single" w:sz="4" w:space="0" w:color="005288"/>
              <w:left w:val="single" w:sz="4" w:space="0" w:color="005288"/>
              <w:bottom w:val="single" w:sz="4" w:space="0" w:color="005288"/>
              <w:right w:val="single" w:sz="4" w:space="0" w:color="005288"/>
            </w:tcBorders>
            <w:vAlign w:val="center"/>
          </w:tcPr>
          <w:p w14:paraId="4F3AB054" w14:textId="77777777" w:rsidR="005A174E" w:rsidRPr="005A174E" w:rsidRDefault="005A174E" w:rsidP="00993238">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0.02-15</w:t>
            </w:r>
          </w:p>
        </w:tc>
        <w:tc>
          <w:tcPr>
            <w:tcW w:w="990" w:type="dxa"/>
            <w:tcBorders>
              <w:top w:val="single" w:sz="4" w:space="0" w:color="005288"/>
              <w:left w:val="single" w:sz="4" w:space="0" w:color="005288"/>
              <w:bottom w:val="single" w:sz="4" w:space="0" w:color="005288"/>
              <w:right w:val="single" w:sz="4" w:space="0" w:color="005288"/>
            </w:tcBorders>
            <w:vAlign w:val="center"/>
          </w:tcPr>
          <w:p w14:paraId="198B60CF" w14:textId="77777777" w:rsidR="005A174E" w:rsidRPr="005A174E" w:rsidRDefault="005A174E" w:rsidP="00993238">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3,4,5</w:t>
            </w:r>
          </w:p>
        </w:tc>
        <w:tc>
          <w:tcPr>
            <w:tcW w:w="1170" w:type="dxa"/>
            <w:vMerge/>
            <w:tcBorders>
              <w:left w:val="single" w:sz="4" w:space="0" w:color="005288"/>
              <w:right w:val="single" w:sz="4" w:space="0" w:color="auto"/>
            </w:tcBorders>
            <w:vAlign w:val="center"/>
          </w:tcPr>
          <w:p w14:paraId="130D93F5"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2062428A" w14:textId="77777777" w:rsidTr="00153B21">
        <w:tc>
          <w:tcPr>
            <w:tcW w:w="4405" w:type="dxa"/>
            <w:vMerge/>
            <w:tcBorders>
              <w:left w:val="single" w:sz="4" w:space="0" w:color="005288"/>
              <w:right w:val="single" w:sz="4" w:space="0" w:color="005288"/>
            </w:tcBorders>
          </w:tcPr>
          <w:p w14:paraId="7BF81697"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7787A234"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Radium-226</w:t>
            </w:r>
          </w:p>
        </w:tc>
        <w:tc>
          <w:tcPr>
            <w:tcW w:w="1350" w:type="dxa"/>
            <w:tcBorders>
              <w:top w:val="single" w:sz="4" w:space="0" w:color="005288"/>
              <w:left w:val="single" w:sz="4" w:space="0" w:color="005288"/>
              <w:bottom w:val="single" w:sz="4" w:space="0" w:color="005288"/>
              <w:right w:val="single" w:sz="4" w:space="0" w:color="005288"/>
            </w:tcBorders>
            <w:vAlign w:val="center"/>
          </w:tcPr>
          <w:p w14:paraId="29668EC4" w14:textId="77777777" w:rsidR="005A174E" w:rsidRPr="005A174E" w:rsidRDefault="005A174E" w:rsidP="00993238">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0.005-0.05</w:t>
            </w:r>
          </w:p>
        </w:tc>
        <w:tc>
          <w:tcPr>
            <w:tcW w:w="990" w:type="dxa"/>
            <w:tcBorders>
              <w:top w:val="single" w:sz="4" w:space="0" w:color="005288"/>
              <w:left w:val="single" w:sz="4" w:space="0" w:color="005288"/>
              <w:bottom w:val="single" w:sz="4" w:space="0" w:color="005288"/>
              <w:right w:val="single" w:sz="4" w:space="0" w:color="005288"/>
            </w:tcBorders>
            <w:vAlign w:val="center"/>
          </w:tcPr>
          <w:p w14:paraId="5E7FC201" w14:textId="77777777" w:rsidR="005A174E" w:rsidRPr="005A174E" w:rsidRDefault="005A174E" w:rsidP="00993238">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4,5</w:t>
            </w:r>
          </w:p>
        </w:tc>
        <w:tc>
          <w:tcPr>
            <w:tcW w:w="1170" w:type="dxa"/>
            <w:vMerge/>
            <w:tcBorders>
              <w:left w:val="single" w:sz="4" w:space="0" w:color="005288"/>
              <w:right w:val="single" w:sz="4" w:space="0" w:color="auto"/>
            </w:tcBorders>
            <w:vAlign w:val="center"/>
          </w:tcPr>
          <w:p w14:paraId="6642812B"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771861CB" w14:textId="77777777" w:rsidTr="00153B21">
        <w:tc>
          <w:tcPr>
            <w:tcW w:w="4405" w:type="dxa"/>
            <w:vMerge/>
            <w:tcBorders>
              <w:left w:val="single" w:sz="4" w:space="0" w:color="005288"/>
              <w:right w:val="single" w:sz="4" w:space="0" w:color="005288"/>
            </w:tcBorders>
          </w:tcPr>
          <w:p w14:paraId="749F5B88"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2087617A"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Iodine-125</w:t>
            </w:r>
          </w:p>
        </w:tc>
        <w:tc>
          <w:tcPr>
            <w:tcW w:w="1350" w:type="dxa"/>
            <w:tcBorders>
              <w:top w:val="single" w:sz="4" w:space="0" w:color="005288"/>
              <w:left w:val="single" w:sz="4" w:space="0" w:color="005288"/>
              <w:bottom w:val="single" w:sz="4" w:space="0" w:color="005288"/>
              <w:right w:val="single" w:sz="4" w:space="0" w:color="005288"/>
            </w:tcBorders>
            <w:vAlign w:val="center"/>
          </w:tcPr>
          <w:p w14:paraId="04B33C8C" w14:textId="77777777" w:rsidR="005A174E" w:rsidRPr="005A174E" w:rsidRDefault="005A174E" w:rsidP="00993238">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0.005-1.3</w:t>
            </w:r>
          </w:p>
        </w:tc>
        <w:tc>
          <w:tcPr>
            <w:tcW w:w="990" w:type="dxa"/>
            <w:tcBorders>
              <w:top w:val="single" w:sz="4" w:space="0" w:color="005288"/>
              <w:left w:val="single" w:sz="4" w:space="0" w:color="005288"/>
              <w:bottom w:val="single" w:sz="4" w:space="0" w:color="005288"/>
              <w:right w:val="single" w:sz="4" w:space="0" w:color="005288"/>
            </w:tcBorders>
            <w:vAlign w:val="center"/>
          </w:tcPr>
          <w:p w14:paraId="6B267550" w14:textId="77777777" w:rsidR="005A174E" w:rsidRPr="005A174E" w:rsidRDefault="005A174E" w:rsidP="00993238">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4,5</w:t>
            </w:r>
          </w:p>
        </w:tc>
        <w:tc>
          <w:tcPr>
            <w:tcW w:w="1170" w:type="dxa"/>
            <w:vMerge/>
            <w:tcBorders>
              <w:left w:val="single" w:sz="4" w:space="0" w:color="005288"/>
              <w:right w:val="single" w:sz="4" w:space="0" w:color="auto"/>
            </w:tcBorders>
            <w:vAlign w:val="center"/>
          </w:tcPr>
          <w:p w14:paraId="3D6F6F94"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65AEDF26" w14:textId="77777777" w:rsidTr="00153B21">
        <w:tc>
          <w:tcPr>
            <w:tcW w:w="4405" w:type="dxa"/>
            <w:vMerge/>
            <w:tcBorders>
              <w:left w:val="single" w:sz="4" w:space="0" w:color="005288"/>
              <w:right w:val="single" w:sz="4" w:space="0" w:color="005288"/>
            </w:tcBorders>
          </w:tcPr>
          <w:p w14:paraId="7D6CB190"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DE4D53A"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Gold-198</w:t>
            </w:r>
          </w:p>
        </w:tc>
        <w:tc>
          <w:tcPr>
            <w:tcW w:w="1350" w:type="dxa"/>
            <w:tcBorders>
              <w:top w:val="single" w:sz="4" w:space="0" w:color="005288"/>
              <w:left w:val="single" w:sz="4" w:space="0" w:color="005288"/>
              <w:bottom w:val="single" w:sz="4" w:space="0" w:color="005288"/>
              <w:right w:val="single" w:sz="4" w:space="0" w:color="005288"/>
            </w:tcBorders>
            <w:vAlign w:val="center"/>
          </w:tcPr>
          <w:p w14:paraId="5ED4EBE8" w14:textId="77777777" w:rsidR="005A174E" w:rsidRPr="005A174E" w:rsidRDefault="005A174E" w:rsidP="00993238">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0.08</w:t>
            </w:r>
          </w:p>
        </w:tc>
        <w:tc>
          <w:tcPr>
            <w:tcW w:w="990" w:type="dxa"/>
            <w:tcBorders>
              <w:top w:val="single" w:sz="4" w:space="0" w:color="005288"/>
              <w:left w:val="single" w:sz="4" w:space="0" w:color="005288"/>
              <w:bottom w:val="single" w:sz="4" w:space="0" w:color="005288"/>
              <w:right w:val="single" w:sz="4" w:space="0" w:color="005288"/>
            </w:tcBorders>
            <w:vAlign w:val="center"/>
          </w:tcPr>
          <w:p w14:paraId="296B1B51" w14:textId="77777777" w:rsidR="005A174E" w:rsidRPr="005A174E" w:rsidRDefault="005A174E" w:rsidP="00993238">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w:t>
            </w:r>
          </w:p>
        </w:tc>
        <w:tc>
          <w:tcPr>
            <w:tcW w:w="1170" w:type="dxa"/>
            <w:vMerge/>
            <w:tcBorders>
              <w:left w:val="single" w:sz="4" w:space="0" w:color="005288"/>
              <w:right w:val="single" w:sz="4" w:space="0" w:color="auto"/>
            </w:tcBorders>
            <w:vAlign w:val="center"/>
          </w:tcPr>
          <w:p w14:paraId="0D03CBD2"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7A235BA9" w14:textId="77777777" w:rsidTr="00153B21">
        <w:tc>
          <w:tcPr>
            <w:tcW w:w="4405" w:type="dxa"/>
            <w:vMerge/>
            <w:tcBorders>
              <w:left w:val="single" w:sz="4" w:space="0" w:color="005288"/>
              <w:right w:val="single" w:sz="4" w:space="0" w:color="005288"/>
            </w:tcBorders>
          </w:tcPr>
          <w:p w14:paraId="00B3A6ED"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071777B7" w14:textId="77777777" w:rsidR="005A174E" w:rsidRPr="005A174E" w:rsidRDefault="005A174E" w:rsidP="005A174E">
            <w:pPr>
              <w:kinsoku w:val="0"/>
              <w:overflowPunct w:val="0"/>
              <w:autoSpaceDE w:val="0"/>
              <w:autoSpaceDN w:val="0"/>
              <w:adjustRightInd w:val="0"/>
              <w:spacing w:before="18"/>
              <w:ind w:left="68"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Californium-252</w:t>
            </w:r>
          </w:p>
        </w:tc>
        <w:tc>
          <w:tcPr>
            <w:tcW w:w="1350" w:type="dxa"/>
            <w:tcBorders>
              <w:top w:val="single" w:sz="4" w:space="0" w:color="005288"/>
              <w:left w:val="single" w:sz="4" w:space="0" w:color="005288"/>
              <w:bottom w:val="single" w:sz="4" w:space="0" w:color="005288"/>
              <w:right w:val="single" w:sz="4" w:space="0" w:color="005288"/>
            </w:tcBorders>
            <w:vAlign w:val="center"/>
          </w:tcPr>
          <w:p w14:paraId="2A586201" w14:textId="77777777" w:rsidR="005A174E" w:rsidRPr="005A174E" w:rsidRDefault="005A174E" w:rsidP="00993238">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0.083-0.54</w:t>
            </w:r>
          </w:p>
        </w:tc>
        <w:tc>
          <w:tcPr>
            <w:tcW w:w="990" w:type="dxa"/>
            <w:tcBorders>
              <w:top w:val="single" w:sz="4" w:space="0" w:color="005288"/>
              <w:left w:val="single" w:sz="4" w:space="0" w:color="005288"/>
              <w:bottom w:val="single" w:sz="4" w:space="0" w:color="005288"/>
              <w:right w:val="single" w:sz="4" w:space="0" w:color="005288"/>
            </w:tcBorders>
            <w:vAlign w:val="center"/>
          </w:tcPr>
          <w:p w14:paraId="1BB47A06" w14:textId="77777777" w:rsidR="005A174E" w:rsidRPr="005A174E" w:rsidRDefault="005A174E" w:rsidP="00993238">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w:t>
            </w:r>
          </w:p>
        </w:tc>
        <w:tc>
          <w:tcPr>
            <w:tcW w:w="1170" w:type="dxa"/>
            <w:vMerge/>
            <w:tcBorders>
              <w:left w:val="single" w:sz="4" w:space="0" w:color="005288"/>
              <w:right w:val="single" w:sz="4" w:space="0" w:color="auto"/>
            </w:tcBorders>
            <w:vAlign w:val="center"/>
          </w:tcPr>
          <w:p w14:paraId="75B9F61B"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6FC80DC8" w14:textId="77777777" w:rsidTr="00153B21">
        <w:tc>
          <w:tcPr>
            <w:tcW w:w="4405" w:type="dxa"/>
            <w:vMerge/>
            <w:tcBorders>
              <w:left w:val="single" w:sz="4" w:space="0" w:color="005288"/>
              <w:right w:val="single" w:sz="4" w:space="0" w:color="005288"/>
            </w:tcBorders>
          </w:tcPr>
          <w:p w14:paraId="39804F91"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0A793A2E" w14:textId="77777777" w:rsidR="005A174E" w:rsidRPr="005A174E" w:rsidRDefault="005A174E" w:rsidP="005A174E">
            <w:pPr>
              <w:kinsoku w:val="0"/>
              <w:overflowPunct w:val="0"/>
              <w:autoSpaceDE w:val="0"/>
              <w:autoSpaceDN w:val="0"/>
              <w:adjustRightInd w:val="0"/>
              <w:spacing w:before="18"/>
              <w:ind w:left="68"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Strontium-90</w:t>
            </w:r>
          </w:p>
        </w:tc>
        <w:tc>
          <w:tcPr>
            <w:tcW w:w="1350" w:type="dxa"/>
            <w:tcBorders>
              <w:top w:val="single" w:sz="4" w:space="0" w:color="005288"/>
              <w:left w:val="single" w:sz="4" w:space="0" w:color="005288"/>
              <w:bottom w:val="single" w:sz="4" w:space="0" w:color="005288"/>
              <w:right w:val="single" w:sz="4" w:space="0" w:color="005288"/>
            </w:tcBorders>
            <w:vAlign w:val="center"/>
          </w:tcPr>
          <w:p w14:paraId="67B9BBA5" w14:textId="77777777" w:rsidR="005A174E" w:rsidRPr="005A174E" w:rsidRDefault="005A174E" w:rsidP="00993238">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0.02-0.12</w:t>
            </w:r>
          </w:p>
        </w:tc>
        <w:tc>
          <w:tcPr>
            <w:tcW w:w="990" w:type="dxa"/>
            <w:tcBorders>
              <w:top w:val="single" w:sz="4" w:space="0" w:color="005288"/>
              <w:left w:val="single" w:sz="4" w:space="0" w:color="005288"/>
              <w:bottom w:val="single" w:sz="4" w:space="0" w:color="005288"/>
              <w:right w:val="single" w:sz="4" w:space="0" w:color="005288"/>
            </w:tcBorders>
            <w:vAlign w:val="center"/>
          </w:tcPr>
          <w:p w14:paraId="5B6086FA" w14:textId="77777777" w:rsidR="005A174E" w:rsidRPr="005A174E" w:rsidRDefault="005A174E" w:rsidP="00993238">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4,5</w:t>
            </w:r>
          </w:p>
        </w:tc>
        <w:tc>
          <w:tcPr>
            <w:tcW w:w="1170" w:type="dxa"/>
            <w:vMerge/>
            <w:tcBorders>
              <w:left w:val="single" w:sz="4" w:space="0" w:color="005288"/>
              <w:right w:val="single" w:sz="4" w:space="0" w:color="auto"/>
            </w:tcBorders>
            <w:vAlign w:val="center"/>
          </w:tcPr>
          <w:p w14:paraId="2126FD17"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347CDCAB" w14:textId="77777777" w:rsidTr="00153B21">
        <w:tc>
          <w:tcPr>
            <w:tcW w:w="4405" w:type="dxa"/>
            <w:vMerge/>
            <w:tcBorders>
              <w:left w:val="single" w:sz="4" w:space="0" w:color="005288"/>
              <w:right w:val="single" w:sz="4" w:space="0" w:color="005288"/>
            </w:tcBorders>
          </w:tcPr>
          <w:p w14:paraId="68C594DC"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7EECA8A4" w14:textId="77777777" w:rsidR="005A174E" w:rsidRPr="005A174E" w:rsidRDefault="005A174E" w:rsidP="005A174E">
            <w:pPr>
              <w:kinsoku w:val="0"/>
              <w:overflowPunct w:val="0"/>
              <w:autoSpaceDE w:val="0"/>
              <w:autoSpaceDN w:val="0"/>
              <w:adjustRightInd w:val="0"/>
              <w:spacing w:before="45" w:line="200" w:lineRule="exact"/>
              <w:ind w:left="68"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Ruthenium/ Rhodium-106</w:t>
            </w:r>
          </w:p>
        </w:tc>
        <w:tc>
          <w:tcPr>
            <w:tcW w:w="1350" w:type="dxa"/>
            <w:tcBorders>
              <w:top w:val="single" w:sz="4" w:space="0" w:color="005288"/>
              <w:left w:val="single" w:sz="4" w:space="0" w:color="005288"/>
              <w:bottom w:val="single" w:sz="4" w:space="0" w:color="005288"/>
              <w:right w:val="single" w:sz="4" w:space="0" w:color="005288"/>
            </w:tcBorders>
            <w:vAlign w:val="center"/>
          </w:tcPr>
          <w:p w14:paraId="580E8AEC" w14:textId="77777777" w:rsidR="005A174E" w:rsidRPr="005A174E" w:rsidRDefault="005A174E" w:rsidP="00D83796">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0.00022-0.0006</w:t>
            </w:r>
          </w:p>
        </w:tc>
        <w:tc>
          <w:tcPr>
            <w:tcW w:w="990" w:type="dxa"/>
            <w:tcBorders>
              <w:top w:val="single" w:sz="4" w:space="0" w:color="005288"/>
              <w:left w:val="single" w:sz="4" w:space="0" w:color="005288"/>
              <w:bottom w:val="single" w:sz="4" w:space="0" w:color="005288"/>
              <w:right w:val="single" w:sz="4" w:space="0" w:color="005288"/>
            </w:tcBorders>
            <w:vAlign w:val="center"/>
          </w:tcPr>
          <w:p w14:paraId="40F45694" w14:textId="77777777" w:rsidR="005A174E" w:rsidRPr="005A174E" w:rsidRDefault="005A174E" w:rsidP="00D83796">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w:t>
            </w:r>
          </w:p>
        </w:tc>
        <w:tc>
          <w:tcPr>
            <w:tcW w:w="1170" w:type="dxa"/>
            <w:vMerge/>
            <w:tcBorders>
              <w:left w:val="single" w:sz="4" w:space="0" w:color="005288"/>
              <w:right w:val="single" w:sz="4" w:space="0" w:color="auto"/>
            </w:tcBorders>
            <w:vAlign w:val="center"/>
          </w:tcPr>
          <w:p w14:paraId="78AA333E"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5E487CDE" w14:textId="77777777" w:rsidTr="00153B21">
        <w:tc>
          <w:tcPr>
            <w:tcW w:w="4405" w:type="dxa"/>
            <w:vMerge/>
            <w:tcBorders>
              <w:left w:val="single" w:sz="4" w:space="0" w:color="005288"/>
              <w:right w:val="single" w:sz="4" w:space="0" w:color="005288"/>
            </w:tcBorders>
          </w:tcPr>
          <w:p w14:paraId="352A4B70"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329CCDD2" w14:textId="77777777" w:rsidR="005A174E" w:rsidRPr="005A174E" w:rsidRDefault="005A174E" w:rsidP="005A174E">
            <w:pPr>
              <w:kinsoku w:val="0"/>
              <w:overflowPunct w:val="0"/>
              <w:autoSpaceDE w:val="0"/>
              <w:autoSpaceDN w:val="0"/>
              <w:adjustRightInd w:val="0"/>
              <w:spacing w:before="18"/>
              <w:ind w:left="68"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Palladium-103</w:t>
            </w:r>
          </w:p>
        </w:tc>
        <w:tc>
          <w:tcPr>
            <w:tcW w:w="1350" w:type="dxa"/>
            <w:tcBorders>
              <w:top w:val="single" w:sz="4" w:space="0" w:color="005288"/>
              <w:left w:val="single" w:sz="4" w:space="0" w:color="005288"/>
              <w:bottom w:val="single" w:sz="4" w:space="0" w:color="005288"/>
              <w:right w:val="single" w:sz="4" w:space="0" w:color="005288"/>
            </w:tcBorders>
            <w:vAlign w:val="center"/>
          </w:tcPr>
          <w:p w14:paraId="4490CBBA" w14:textId="77777777" w:rsidR="005A174E" w:rsidRPr="005A174E" w:rsidRDefault="005A174E" w:rsidP="00D83796">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0.03-0.0056</w:t>
            </w:r>
          </w:p>
        </w:tc>
        <w:tc>
          <w:tcPr>
            <w:tcW w:w="990" w:type="dxa"/>
            <w:tcBorders>
              <w:top w:val="single" w:sz="4" w:space="0" w:color="005288"/>
              <w:left w:val="single" w:sz="4" w:space="0" w:color="005288"/>
              <w:bottom w:val="single" w:sz="4" w:space="0" w:color="005288"/>
              <w:right w:val="single" w:sz="4" w:space="0" w:color="005288"/>
            </w:tcBorders>
            <w:vAlign w:val="center"/>
          </w:tcPr>
          <w:p w14:paraId="01E481A1" w14:textId="77777777" w:rsidR="005A174E" w:rsidRPr="005A174E" w:rsidRDefault="005A174E" w:rsidP="00D83796">
            <w:pPr>
              <w:kinsoku w:val="0"/>
              <w:overflowPunct w:val="0"/>
              <w:autoSpaceDE w:val="0"/>
              <w:autoSpaceDN w:val="0"/>
              <w:adjustRightInd w:val="0"/>
              <w:spacing w:before="18"/>
              <w:ind w:left="68"/>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w:t>
            </w:r>
          </w:p>
        </w:tc>
        <w:tc>
          <w:tcPr>
            <w:tcW w:w="1170" w:type="dxa"/>
            <w:vMerge/>
            <w:tcBorders>
              <w:left w:val="single" w:sz="4" w:space="0" w:color="005288"/>
              <w:right w:val="single" w:sz="4" w:space="0" w:color="auto"/>
            </w:tcBorders>
            <w:vAlign w:val="center"/>
          </w:tcPr>
          <w:p w14:paraId="364DB5E9"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3D45E74A" w14:textId="77777777" w:rsidTr="00153B21">
        <w:trPr>
          <w:trHeight w:val="2879"/>
        </w:trPr>
        <w:tc>
          <w:tcPr>
            <w:tcW w:w="9445" w:type="dxa"/>
            <w:gridSpan w:val="5"/>
          </w:tcPr>
          <w:p w14:paraId="5F04A45D"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502270F4"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5454336E"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3DC6E40A" w14:textId="77777777" w:rsidR="005A174E" w:rsidRPr="005A174E" w:rsidRDefault="005A174E" w:rsidP="005A174E">
      <w:pPr>
        <w:rPr>
          <w:rFonts w:ascii="Times New Roman" w:eastAsia="Calibri" w:hAnsi="Times New Roman" w:cs="Times New Roman"/>
          <w:sz w:val="24"/>
        </w:rPr>
      </w:pPr>
    </w:p>
    <w:p w14:paraId="12272B87" w14:textId="77777777" w:rsidR="005A174E" w:rsidRPr="005A174E" w:rsidRDefault="005A174E" w:rsidP="005A174E">
      <w:pPr>
        <w:rPr>
          <w:rFonts w:ascii="Times New Roman" w:eastAsia="Calibri" w:hAnsi="Times New Roman" w:cs="Times New Roman"/>
          <w:sz w:val="24"/>
        </w:rPr>
      </w:pPr>
    </w:p>
    <w:p w14:paraId="5ED7ABC2" w14:textId="77777777" w:rsidR="00C41DCF" w:rsidRPr="0063221F" w:rsidRDefault="00C41DCF" w:rsidP="009870EB">
      <w:pPr>
        <w:rPr>
          <w:rFonts w:ascii="Times New Roman" w:hAnsi="Times New Roman" w:cs="Times New Roman"/>
          <w:sz w:val="20"/>
          <w:szCs w:val="20"/>
        </w:rPr>
      </w:pPr>
    </w:p>
    <w:p w14:paraId="0D1CF496" w14:textId="77777777" w:rsidR="00D85C91" w:rsidRDefault="00D85C91" w:rsidP="00D85C91">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2ADFD4F7" w14:textId="77777777" w:rsidR="00D85C91" w:rsidRDefault="00D85C91" w:rsidP="00D85C91">
      <w:pPr>
        <w:rPr>
          <w:rFonts w:ascii="Times New Roman" w:hAnsi="Times New Roman" w:cs="Times New Roman"/>
          <w:sz w:val="24"/>
        </w:rPr>
      </w:pPr>
    </w:p>
    <w:p w14:paraId="67F9E397"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789D0C37" w14:textId="77777777" w:rsidR="00D85C91" w:rsidRPr="00023B4D" w:rsidRDefault="00D85C91" w:rsidP="00D85C91">
      <w:pPr>
        <w:rPr>
          <w:rFonts w:ascii="Times New Roman" w:eastAsia="Calibri" w:hAnsi="Times New Roman" w:cs="Times New Roman"/>
          <w:sz w:val="24"/>
        </w:rPr>
      </w:pPr>
    </w:p>
    <w:p w14:paraId="737CA668" w14:textId="0DEB54CB" w:rsidR="009870EB" w:rsidRPr="00285FC3" w:rsidRDefault="00D85C91" w:rsidP="009870EB">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0B43FE54" w14:textId="77777777" w:rsidR="009870EB" w:rsidRPr="00875AB8" w:rsidRDefault="009870EB" w:rsidP="00BC4F2F">
      <w:pPr>
        <w:rPr>
          <w:rFonts w:ascii="Times New Roman" w:hAnsi="Times New Roman" w:cs="Times New Roman"/>
          <w:sz w:val="24"/>
        </w:rPr>
      </w:pPr>
    </w:p>
    <w:sectPr w:rsidR="009870EB" w:rsidRPr="00875AB8" w:rsidSect="00F737FA">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5DC76" w14:textId="77777777" w:rsidR="0001048F" w:rsidRDefault="0001048F" w:rsidP="00780150">
      <w:r>
        <w:separator/>
      </w:r>
    </w:p>
  </w:endnote>
  <w:endnote w:type="continuationSeparator" w:id="0">
    <w:p w14:paraId="4B5660F4" w14:textId="77777777" w:rsidR="0001048F" w:rsidRDefault="0001048F" w:rsidP="00780150">
      <w:r>
        <w:continuationSeparator/>
      </w:r>
    </w:p>
  </w:endnote>
  <w:endnote w:type="continuationNotice" w:id="1">
    <w:p w14:paraId="5BE7F4B8" w14:textId="77777777" w:rsidR="0001048F" w:rsidRDefault="00010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938427"/>
      <w:docPartObj>
        <w:docPartGallery w:val="Page Numbers (Bottom of Page)"/>
        <w:docPartUnique/>
      </w:docPartObj>
    </w:sdtPr>
    <w:sdtEndPr>
      <w:rPr>
        <w:noProof/>
      </w:rPr>
    </w:sdtEndPr>
    <w:sdtContent>
      <w:p w14:paraId="23EFFBE8" w14:textId="3090A95B" w:rsidR="00F737FA" w:rsidRDefault="00F737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50B8" w14:textId="77777777" w:rsidR="0001048F" w:rsidRDefault="0001048F" w:rsidP="00780150">
      <w:r>
        <w:separator/>
      </w:r>
    </w:p>
  </w:footnote>
  <w:footnote w:type="continuationSeparator" w:id="0">
    <w:p w14:paraId="20623217" w14:textId="77777777" w:rsidR="0001048F" w:rsidRDefault="0001048F" w:rsidP="00780150">
      <w:r>
        <w:continuationSeparator/>
      </w:r>
    </w:p>
  </w:footnote>
  <w:footnote w:type="continuationNotice" w:id="1">
    <w:p w14:paraId="1484D6C3" w14:textId="77777777" w:rsidR="0001048F" w:rsidRDefault="0001048F"/>
  </w:footnote>
  <w:footnote w:id="2">
    <w:p w14:paraId="03BD8FFF"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1A49D4B9"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4CAE5CED"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1048F"/>
    <w:rsid w:val="00054FB8"/>
    <w:rsid w:val="0006357D"/>
    <w:rsid w:val="000662FB"/>
    <w:rsid w:val="00095D59"/>
    <w:rsid w:val="000B4360"/>
    <w:rsid w:val="00133F0D"/>
    <w:rsid w:val="001360B3"/>
    <w:rsid w:val="001B4B1C"/>
    <w:rsid w:val="001E787C"/>
    <w:rsid w:val="00254A74"/>
    <w:rsid w:val="00285FC3"/>
    <w:rsid w:val="00327196"/>
    <w:rsid w:val="003C1066"/>
    <w:rsid w:val="004C2FC7"/>
    <w:rsid w:val="004E34E3"/>
    <w:rsid w:val="005A174E"/>
    <w:rsid w:val="005D4CA9"/>
    <w:rsid w:val="00611CA1"/>
    <w:rsid w:val="00687EC5"/>
    <w:rsid w:val="007624CD"/>
    <w:rsid w:val="00780150"/>
    <w:rsid w:val="007819C6"/>
    <w:rsid w:val="0080354D"/>
    <w:rsid w:val="008645D2"/>
    <w:rsid w:val="00875AB8"/>
    <w:rsid w:val="009746FC"/>
    <w:rsid w:val="00985AD6"/>
    <w:rsid w:val="009870EB"/>
    <w:rsid w:val="00993238"/>
    <w:rsid w:val="00A10AED"/>
    <w:rsid w:val="00A41AB6"/>
    <w:rsid w:val="00A81BD0"/>
    <w:rsid w:val="00AB4C60"/>
    <w:rsid w:val="00BC4F2F"/>
    <w:rsid w:val="00C053BA"/>
    <w:rsid w:val="00C41DCF"/>
    <w:rsid w:val="00D1516D"/>
    <w:rsid w:val="00D445B3"/>
    <w:rsid w:val="00D83796"/>
    <w:rsid w:val="00D85C91"/>
    <w:rsid w:val="00DA4530"/>
    <w:rsid w:val="00DB3757"/>
    <w:rsid w:val="00E36648"/>
    <w:rsid w:val="00EF5140"/>
    <w:rsid w:val="00F05D12"/>
    <w:rsid w:val="00F13B4F"/>
    <w:rsid w:val="00F7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11</cp:revision>
  <dcterms:created xsi:type="dcterms:W3CDTF">2020-11-03T19:37:00Z</dcterms:created>
  <dcterms:modified xsi:type="dcterms:W3CDTF">2020-11-03T20:23:00Z</dcterms:modified>
</cp:coreProperties>
</file>